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20495">
      <w:pPr>
        <w:autoSpaceDE w:val="0"/>
        <w:autoSpaceDN w:val="0"/>
        <w:adjustRightInd w:val="0"/>
        <w:spacing w:line="360" w:lineRule="auto"/>
        <w:ind w:left="-283" w:leftChars="-135" w:firstLine="343" w:firstLineChars="78"/>
        <w:jc w:val="center"/>
        <w:rPr>
          <w:rFonts w:hint="eastAsia" w:ascii="黑体" w:eastAsia="黑体" w:cs="黑体"/>
          <w:kern w:val="0"/>
          <w:sz w:val="44"/>
          <w:szCs w:val="44"/>
          <w:lang w:val="zh-CN"/>
        </w:rPr>
      </w:pPr>
      <w:r>
        <w:rPr>
          <w:rFonts w:hint="eastAsia" w:ascii="黑体" w:eastAsia="黑体" w:cs="黑体"/>
          <w:kern w:val="0"/>
          <w:sz w:val="44"/>
          <w:szCs w:val="44"/>
          <w:lang w:val="zh-CN"/>
        </w:rPr>
        <w:t>总</w:t>
      </w:r>
      <w:r>
        <w:rPr>
          <w:rFonts w:ascii="黑体" w:eastAsia="黑体" w:cs="黑体"/>
          <w:kern w:val="0"/>
          <w:sz w:val="44"/>
          <w:szCs w:val="44"/>
          <w:lang w:val="zh-CN"/>
        </w:rPr>
        <w:t xml:space="preserve">  </w:t>
      </w:r>
      <w:r>
        <w:rPr>
          <w:rFonts w:hint="eastAsia" w:ascii="黑体" w:eastAsia="黑体" w:cs="黑体"/>
          <w:kern w:val="0"/>
          <w:sz w:val="44"/>
          <w:szCs w:val="44"/>
          <w:lang w:val="zh-CN"/>
        </w:rPr>
        <w:t>说</w:t>
      </w:r>
      <w:r>
        <w:rPr>
          <w:rFonts w:ascii="黑体" w:eastAsia="黑体" w:cs="黑体"/>
          <w:kern w:val="0"/>
          <w:sz w:val="44"/>
          <w:szCs w:val="44"/>
          <w:lang w:val="zh-CN"/>
        </w:rPr>
        <w:t xml:space="preserve">  </w:t>
      </w:r>
      <w:r>
        <w:rPr>
          <w:rFonts w:hint="eastAsia" w:ascii="黑体" w:eastAsia="黑体" w:cs="黑体"/>
          <w:kern w:val="0"/>
          <w:sz w:val="44"/>
          <w:szCs w:val="44"/>
          <w:lang w:val="zh-CN"/>
        </w:rPr>
        <w:t>明</w:t>
      </w:r>
    </w:p>
    <w:p w14:paraId="5A176CDE">
      <w:pPr>
        <w:autoSpaceDE w:val="0"/>
        <w:autoSpaceDN w:val="0"/>
        <w:adjustRightInd w:val="0"/>
        <w:ind w:left="-283" w:leftChars="-135" w:firstLine="187" w:firstLineChars="78"/>
        <w:jc w:val="left"/>
        <w:rPr>
          <w:rFonts w:hint="default" w:ascii="黑体" w:eastAsia="黑体" w:cs="黑体"/>
          <w:kern w:val="0"/>
          <w:sz w:val="28"/>
          <w:szCs w:val="28"/>
          <w:lang w:val="en-US" w:eastAsia="zh-CN"/>
        </w:rPr>
      </w:pPr>
      <w:r>
        <w:rPr>
          <w:rFonts w:hint="eastAsia" w:ascii="黑体" w:eastAsia="黑体" w:cs="黑体"/>
          <w:kern w:val="0"/>
          <w:sz w:val="24"/>
          <w:szCs w:val="24"/>
          <w:lang w:val="zh-CN"/>
        </w:rPr>
        <w:t>工程名称：梅村高中艺体楼和物联网农业大棚水电通达改造项目</w:t>
      </w:r>
    </w:p>
    <w:tbl>
      <w:tblPr>
        <w:tblStyle w:val="7"/>
        <w:tblpPr w:leftFromText="180" w:rightFromText="180" w:vertAnchor="text" w:horzAnchor="page" w:tblpX="1294" w:tblpY="366"/>
        <w:tblW w:w="9097" w:type="dxa"/>
        <w:tblInd w:w="0" w:type="dxa"/>
        <w:tblLayout w:type="fixed"/>
        <w:tblCellMar>
          <w:top w:w="0" w:type="dxa"/>
          <w:left w:w="10" w:type="dxa"/>
          <w:bottom w:w="0" w:type="dxa"/>
          <w:right w:w="10" w:type="dxa"/>
        </w:tblCellMar>
      </w:tblPr>
      <w:tblGrid>
        <w:gridCol w:w="9097"/>
      </w:tblGrid>
      <w:tr w14:paraId="71298CA6">
        <w:tblPrEx>
          <w:tblCellMar>
            <w:top w:w="0" w:type="dxa"/>
            <w:left w:w="10" w:type="dxa"/>
            <w:bottom w:w="0" w:type="dxa"/>
            <w:right w:w="10" w:type="dxa"/>
          </w:tblCellMar>
        </w:tblPrEx>
        <w:trPr>
          <w:trHeight w:val="90" w:hRule="atLeast"/>
        </w:trPr>
        <w:tc>
          <w:tcPr>
            <w:tcW w:w="9097" w:type="dxa"/>
            <w:tcBorders>
              <w:top w:val="single" w:color="auto" w:sz="4" w:space="0"/>
              <w:left w:val="single" w:color="auto" w:sz="4" w:space="0"/>
              <w:bottom w:val="single" w:color="auto" w:sz="4" w:space="0"/>
              <w:right w:val="single" w:color="auto" w:sz="4" w:space="0"/>
            </w:tcBorders>
            <w:noWrap w:val="0"/>
            <w:vAlign w:val="top"/>
          </w:tcPr>
          <w:p w14:paraId="4F4584AD">
            <w:pPr>
              <w:keepNext w:val="0"/>
              <w:keepLines w:val="0"/>
              <w:pageBreakBefore w:val="0"/>
              <w:kinsoku/>
              <w:wordWrap/>
              <w:overflowPunct/>
              <w:topLinePunct w:val="0"/>
              <w:autoSpaceDE w:val="0"/>
              <w:autoSpaceDN w:val="0"/>
              <w:bidi w:val="0"/>
              <w:adjustRightInd w:val="0"/>
              <w:snapToGrid w:val="0"/>
              <w:spacing w:line="400" w:lineRule="exact"/>
              <w:ind w:right="170"/>
              <w:jc w:val="left"/>
              <w:textAlignment w:val="auto"/>
              <w:rPr>
                <w:rFonts w:hint="eastAsia" w:ascii="宋体" w:cs="宋体"/>
                <w:kern w:val="0"/>
                <w:sz w:val="24"/>
                <w:szCs w:val="24"/>
                <w:lang w:val="zh-CN"/>
              </w:rPr>
            </w:pPr>
            <w:r>
              <w:rPr>
                <w:rFonts w:hint="eastAsia" w:ascii="宋体" w:cs="宋体"/>
                <w:kern w:val="0"/>
                <w:sz w:val="24"/>
                <w:szCs w:val="24"/>
                <w:lang w:val="en-US" w:eastAsia="zh-CN"/>
              </w:rPr>
              <w:t>一、</w:t>
            </w:r>
            <w:r>
              <w:rPr>
                <w:rFonts w:hint="eastAsia" w:ascii="宋体" w:cs="宋体"/>
                <w:kern w:val="0"/>
                <w:sz w:val="24"/>
                <w:szCs w:val="24"/>
                <w:lang w:val="zh-CN"/>
              </w:rPr>
              <w:t>工程概况：</w:t>
            </w:r>
          </w:p>
          <w:p w14:paraId="1582BC6E">
            <w:pPr>
              <w:keepNext w:val="0"/>
              <w:keepLines w:val="0"/>
              <w:pageBreakBefore w:val="0"/>
              <w:numPr>
                <w:ilvl w:val="0"/>
                <w:numId w:val="1"/>
              </w:numPr>
              <w:kinsoku/>
              <w:wordWrap/>
              <w:overflowPunct/>
              <w:topLinePunct w:val="0"/>
              <w:autoSpaceDE w:val="0"/>
              <w:autoSpaceDN w:val="0"/>
              <w:bidi w:val="0"/>
              <w:adjustRightInd w:val="0"/>
              <w:snapToGrid w:val="0"/>
              <w:spacing w:line="400" w:lineRule="exact"/>
              <w:ind w:right="170" w:firstLine="283"/>
              <w:jc w:val="left"/>
              <w:textAlignment w:val="auto"/>
              <w:rPr>
                <w:rFonts w:hint="eastAsia" w:ascii="宋体" w:cs="宋体"/>
                <w:kern w:val="0"/>
                <w:sz w:val="24"/>
                <w:szCs w:val="24"/>
                <w:lang w:val="zh-CN"/>
              </w:rPr>
            </w:pPr>
            <w:r>
              <w:rPr>
                <w:rFonts w:hint="eastAsia" w:ascii="宋体" w:cs="宋体"/>
                <w:kern w:val="0"/>
                <w:sz w:val="24"/>
                <w:szCs w:val="24"/>
                <w:lang w:val="zh-CN"/>
              </w:rPr>
              <w:t>项目位置及范围：</w:t>
            </w:r>
          </w:p>
          <w:p w14:paraId="17854358">
            <w:pPr>
              <w:keepNext w:val="0"/>
              <w:keepLines w:val="0"/>
              <w:pageBreakBefore w:val="0"/>
              <w:kinsoku/>
              <w:wordWrap/>
              <w:overflowPunct/>
              <w:topLinePunct w:val="0"/>
              <w:autoSpaceDE w:val="0"/>
              <w:autoSpaceDN w:val="0"/>
              <w:bidi w:val="0"/>
              <w:adjustRightInd w:val="0"/>
              <w:snapToGrid w:val="0"/>
              <w:spacing w:line="400" w:lineRule="exact"/>
              <w:ind w:right="170" w:firstLine="480" w:firstLineChars="200"/>
              <w:jc w:val="left"/>
              <w:textAlignment w:val="auto"/>
              <w:rPr>
                <w:rFonts w:hint="eastAsia" w:ascii="宋体" w:cs="宋体"/>
                <w:kern w:val="0"/>
                <w:sz w:val="24"/>
                <w:szCs w:val="24"/>
                <w:lang w:val="zh-CN"/>
              </w:rPr>
            </w:pPr>
            <w:r>
              <w:rPr>
                <w:rFonts w:hint="eastAsia" w:ascii="黑体" w:eastAsia="黑体" w:cs="黑体"/>
                <w:kern w:val="0"/>
                <w:sz w:val="24"/>
                <w:szCs w:val="24"/>
                <w:lang w:val="en-US" w:eastAsia="zh-CN"/>
              </w:rPr>
              <w:t>梅村高中艺体楼和物联网农业大棚水电通达改造项目</w:t>
            </w:r>
            <w:r>
              <w:rPr>
                <w:rFonts w:hint="eastAsia" w:ascii="宋体" w:cs="宋体"/>
                <w:kern w:val="0"/>
                <w:sz w:val="24"/>
                <w:szCs w:val="24"/>
                <w:lang w:val="zh-CN"/>
              </w:rPr>
              <w:t>。</w:t>
            </w:r>
          </w:p>
          <w:p w14:paraId="7BAB6CF9">
            <w:pPr>
              <w:keepNext w:val="0"/>
              <w:keepLines w:val="0"/>
              <w:pageBreakBefore w:val="0"/>
              <w:kinsoku/>
              <w:wordWrap/>
              <w:overflowPunct/>
              <w:topLinePunct w:val="0"/>
              <w:autoSpaceDE w:val="0"/>
              <w:autoSpaceDN w:val="0"/>
              <w:bidi w:val="0"/>
              <w:adjustRightInd w:val="0"/>
              <w:snapToGrid w:val="0"/>
              <w:spacing w:line="400" w:lineRule="exact"/>
              <w:ind w:right="170" w:firstLine="283"/>
              <w:jc w:val="left"/>
              <w:textAlignment w:val="auto"/>
              <w:rPr>
                <w:kern w:val="0"/>
                <w:sz w:val="24"/>
                <w:szCs w:val="24"/>
              </w:rPr>
            </w:pPr>
            <w:r>
              <w:rPr>
                <w:rFonts w:hint="eastAsia" w:ascii="宋体" w:cs="宋体"/>
                <w:kern w:val="0"/>
                <w:sz w:val="24"/>
                <w:szCs w:val="24"/>
              </w:rPr>
              <w:t>2</w:t>
            </w:r>
            <w:r>
              <w:rPr>
                <w:rFonts w:hint="eastAsia" w:ascii="宋体" w:cs="宋体"/>
                <w:kern w:val="0"/>
                <w:sz w:val="24"/>
                <w:szCs w:val="24"/>
                <w:lang w:val="zh-CN"/>
              </w:rPr>
              <w:t>、施工现场实际情况：详现场踏勘。</w:t>
            </w:r>
          </w:p>
          <w:p w14:paraId="1571BDDF">
            <w:pPr>
              <w:keepNext w:val="0"/>
              <w:keepLines w:val="0"/>
              <w:pageBreakBefore w:val="0"/>
              <w:kinsoku/>
              <w:wordWrap/>
              <w:overflowPunct/>
              <w:topLinePunct w:val="0"/>
              <w:autoSpaceDE w:val="0"/>
              <w:autoSpaceDN w:val="0"/>
              <w:bidi w:val="0"/>
              <w:adjustRightInd w:val="0"/>
              <w:snapToGrid w:val="0"/>
              <w:spacing w:line="400" w:lineRule="exact"/>
              <w:ind w:right="170" w:firstLine="283"/>
              <w:jc w:val="left"/>
              <w:textAlignment w:val="auto"/>
              <w:rPr>
                <w:kern w:val="0"/>
                <w:sz w:val="24"/>
                <w:szCs w:val="24"/>
              </w:rPr>
            </w:pPr>
            <w:r>
              <w:rPr>
                <w:rFonts w:hint="eastAsia" w:ascii="宋体" w:cs="宋体"/>
                <w:kern w:val="0"/>
                <w:sz w:val="24"/>
                <w:szCs w:val="24"/>
              </w:rPr>
              <w:t>3</w:t>
            </w:r>
            <w:r>
              <w:rPr>
                <w:rFonts w:hint="eastAsia" w:ascii="宋体" w:cs="宋体"/>
                <w:kern w:val="0"/>
                <w:sz w:val="24"/>
                <w:szCs w:val="24"/>
                <w:lang w:val="zh-CN"/>
              </w:rPr>
              <w:t>、交通运输情况：详现场踏勘。</w:t>
            </w:r>
          </w:p>
          <w:p w14:paraId="791218C4">
            <w:pPr>
              <w:keepNext w:val="0"/>
              <w:keepLines w:val="0"/>
              <w:pageBreakBefore w:val="0"/>
              <w:kinsoku/>
              <w:wordWrap/>
              <w:overflowPunct/>
              <w:topLinePunct w:val="0"/>
              <w:autoSpaceDE w:val="0"/>
              <w:autoSpaceDN w:val="0"/>
              <w:bidi w:val="0"/>
              <w:adjustRightInd w:val="0"/>
              <w:snapToGrid w:val="0"/>
              <w:spacing w:line="400" w:lineRule="exact"/>
              <w:ind w:right="170" w:firstLine="283"/>
              <w:jc w:val="left"/>
              <w:textAlignment w:val="auto"/>
              <w:rPr>
                <w:kern w:val="0"/>
                <w:sz w:val="24"/>
                <w:szCs w:val="24"/>
              </w:rPr>
            </w:pPr>
            <w:r>
              <w:rPr>
                <w:rFonts w:hint="eastAsia" w:ascii="宋体" w:cs="宋体"/>
                <w:kern w:val="0"/>
                <w:sz w:val="24"/>
                <w:szCs w:val="24"/>
              </w:rPr>
              <w:t>4</w:t>
            </w:r>
            <w:r>
              <w:rPr>
                <w:rFonts w:hint="eastAsia" w:ascii="宋体" w:cs="宋体"/>
                <w:kern w:val="0"/>
                <w:sz w:val="24"/>
                <w:szCs w:val="24"/>
                <w:lang w:val="zh-CN"/>
              </w:rPr>
              <w:t>、自然地理条件：详现场踏勘。</w:t>
            </w:r>
          </w:p>
          <w:p w14:paraId="6B0EA29E">
            <w:pPr>
              <w:keepNext w:val="0"/>
              <w:keepLines w:val="0"/>
              <w:pageBreakBefore w:val="0"/>
              <w:kinsoku/>
              <w:wordWrap/>
              <w:overflowPunct/>
              <w:topLinePunct w:val="0"/>
              <w:autoSpaceDE w:val="0"/>
              <w:autoSpaceDN w:val="0"/>
              <w:bidi w:val="0"/>
              <w:adjustRightInd w:val="0"/>
              <w:snapToGrid w:val="0"/>
              <w:spacing w:line="400" w:lineRule="exact"/>
              <w:ind w:right="170" w:firstLine="283"/>
              <w:jc w:val="left"/>
              <w:textAlignment w:val="auto"/>
              <w:rPr>
                <w:kern w:val="0"/>
                <w:sz w:val="24"/>
                <w:szCs w:val="24"/>
              </w:rPr>
            </w:pPr>
            <w:r>
              <w:rPr>
                <w:rFonts w:hint="eastAsia" w:ascii="宋体" w:cs="宋体"/>
                <w:kern w:val="0"/>
                <w:sz w:val="24"/>
                <w:szCs w:val="24"/>
              </w:rPr>
              <w:t>5</w:t>
            </w:r>
            <w:r>
              <w:rPr>
                <w:rFonts w:hint="eastAsia" w:ascii="宋体" w:cs="宋体"/>
                <w:kern w:val="0"/>
                <w:sz w:val="24"/>
                <w:szCs w:val="24"/>
                <w:lang w:val="zh-CN"/>
              </w:rPr>
              <w:t>、环境保护要求：符合环保部门有关规定。</w:t>
            </w:r>
          </w:p>
          <w:p w14:paraId="746BC2DC">
            <w:pPr>
              <w:pStyle w:val="6"/>
              <w:keepNext w:val="0"/>
              <w:keepLines w:val="0"/>
              <w:pageBreakBefore w:val="0"/>
              <w:widowControl/>
              <w:suppressLineNumbers w:val="0"/>
              <w:kinsoku/>
              <w:wordWrap/>
              <w:overflowPunct/>
              <w:topLinePunct w:val="0"/>
              <w:bidi w:val="0"/>
              <w:adjustRightInd w:val="0"/>
              <w:snapToGrid w:val="0"/>
              <w:spacing w:before="0" w:beforeAutospacing="0" w:after="0" w:afterAutospacing="0" w:line="400" w:lineRule="exact"/>
              <w:ind w:left="0" w:right="0" w:firstLine="0"/>
              <w:textAlignment w:val="auto"/>
              <w:rPr>
                <w:rFonts w:hint="eastAsia" w:ascii="宋体" w:cs="宋体"/>
                <w:kern w:val="0"/>
                <w:sz w:val="24"/>
                <w:szCs w:val="24"/>
                <w:highlight w:val="yellow"/>
              </w:rPr>
            </w:pPr>
            <w:r>
              <w:rPr>
                <w:rFonts w:hint="eastAsia" w:ascii="宋体" w:cs="宋体"/>
                <w:kern w:val="0"/>
                <w:sz w:val="24"/>
                <w:szCs w:val="24"/>
                <w:lang w:val="zh-CN"/>
              </w:rPr>
              <w:t>二、工程招标和分包范围：</w:t>
            </w:r>
            <w:r>
              <w:rPr>
                <w:rFonts w:hint="eastAsia" w:ascii="黑体" w:eastAsia="黑体" w:cs="黑体"/>
                <w:kern w:val="0"/>
                <w:sz w:val="24"/>
                <w:szCs w:val="24"/>
                <w:lang w:val="en-US" w:eastAsia="zh-CN"/>
              </w:rPr>
              <w:t>梅村高中艺体楼和物联网农业大棚水电通达改造项目</w:t>
            </w:r>
            <w:r>
              <w:rPr>
                <w:rFonts w:hint="eastAsia" w:ascii="宋体" w:cs="宋体"/>
                <w:color w:val="000000"/>
                <w:kern w:val="0"/>
                <w:sz w:val="24"/>
                <w:szCs w:val="24"/>
                <w:lang w:val="zh-CN"/>
              </w:rPr>
              <w:t>（</w:t>
            </w:r>
            <w:r>
              <w:rPr>
                <w:rFonts w:hint="eastAsia" w:ascii="宋体" w:cs="宋体"/>
                <w:kern w:val="0"/>
                <w:sz w:val="24"/>
                <w:szCs w:val="24"/>
                <w:lang w:val="zh-CN"/>
              </w:rPr>
              <w:t>详见招标文件和本清单有关说明）。</w:t>
            </w:r>
            <w:r>
              <w:rPr>
                <w:rFonts w:ascii="宋体" w:cs="宋体"/>
                <w:kern w:val="0"/>
                <w:sz w:val="24"/>
                <w:szCs w:val="24"/>
                <w:lang w:val="zh-CN"/>
              </w:rPr>
              <w:t xml:space="preserve">   </w:t>
            </w:r>
          </w:p>
          <w:p w14:paraId="4B2C3B95">
            <w:pPr>
              <w:keepNext w:val="0"/>
              <w:keepLines w:val="0"/>
              <w:pageBreakBefore w:val="0"/>
              <w:kinsoku/>
              <w:wordWrap/>
              <w:overflowPunct/>
              <w:topLinePunct w:val="0"/>
              <w:autoSpaceDE w:val="0"/>
              <w:autoSpaceDN w:val="0"/>
              <w:bidi w:val="0"/>
              <w:adjustRightInd w:val="0"/>
              <w:snapToGrid w:val="0"/>
              <w:spacing w:line="400" w:lineRule="exact"/>
              <w:ind w:right="170"/>
              <w:jc w:val="left"/>
              <w:textAlignment w:val="auto"/>
              <w:rPr>
                <w:kern w:val="0"/>
                <w:sz w:val="24"/>
                <w:szCs w:val="24"/>
              </w:rPr>
            </w:pPr>
            <w:r>
              <w:rPr>
                <w:rFonts w:hint="eastAsia" w:ascii="宋体" w:cs="宋体"/>
                <w:kern w:val="0"/>
                <w:sz w:val="24"/>
                <w:szCs w:val="24"/>
                <w:lang w:val="zh-CN"/>
              </w:rPr>
              <w:t>三、工程量清单编制依据和说明：</w:t>
            </w:r>
          </w:p>
          <w:p w14:paraId="257D674C">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hint="eastAsia" w:ascii="宋体" w:cs="宋体"/>
                <w:sz w:val="24"/>
                <w:szCs w:val="24"/>
              </w:rPr>
            </w:pPr>
            <w:r>
              <w:rPr>
                <w:rFonts w:hint="eastAsia" w:ascii="宋体" w:cs="宋体"/>
                <w:sz w:val="24"/>
                <w:szCs w:val="24"/>
                <w:lang w:val="zh-CN"/>
              </w:rPr>
              <w:t>1、</w:t>
            </w:r>
            <w:r>
              <w:rPr>
                <w:rFonts w:hint="eastAsia" w:ascii="宋体" w:cs="宋体"/>
                <w:sz w:val="24"/>
                <w:szCs w:val="24"/>
              </w:rPr>
              <w:t>招标人提供</w:t>
            </w:r>
            <w:r>
              <w:rPr>
                <w:rFonts w:hint="eastAsia" w:ascii="宋体" w:cs="宋体"/>
                <w:kern w:val="0"/>
                <w:sz w:val="24"/>
                <w:szCs w:val="24"/>
                <w:lang w:val="zh-CN"/>
              </w:rPr>
              <w:t>的</w:t>
            </w:r>
            <w:r>
              <w:rPr>
                <w:rFonts w:hint="eastAsia" w:ascii="宋体" w:cs="宋体"/>
                <w:kern w:val="0"/>
                <w:sz w:val="24"/>
                <w:szCs w:val="24"/>
                <w:lang w:val="en-US" w:eastAsia="zh-CN"/>
              </w:rPr>
              <w:t>图纸资料</w:t>
            </w:r>
            <w:r>
              <w:rPr>
                <w:rFonts w:hint="eastAsia" w:ascii="宋体" w:cs="宋体"/>
                <w:kern w:val="0"/>
                <w:sz w:val="24"/>
                <w:szCs w:val="24"/>
              </w:rPr>
              <w:t>；</w:t>
            </w:r>
          </w:p>
          <w:p w14:paraId="484E435E">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hint="eastAsia" w:ascii="宋体" w:cs="宋体"/>
                <w:sz w:val="24"/>
                <w:szCs w:val="24"/>
                <w:lang w:val="zh-CN"/>
              </w:rPr>
            </w:pPr>
            <w:r>
              <w:rPr>
                <w:rFonts w:hint="eastAsia" w:ascii="宋体" w:cs="宋体"/>
                <w:sz w:val="24"/>
                <w:szCs w:val="24"/>
                <w:lang w:val="zh-CN"/>
              </w:rPr>
              <w:t>2、住房城乡建设部《建设工程工程量清单计价标准》（GB/T50500-2024）及各专业工程量计算标准；</w:t>
            </w:r>
          </w:p>
          <w:p w14:paraId="08CAE041">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hint="eastAsia" w:ascii="宋体" w:cs="宋体"/>
                <w:sz w:val="24"/>
                <w:szCs w:val="24"/>
                <w:lang w:val="zh-CN"/>
              </w:rPr>
            </w:pPr>
            <w:r>
              <w:rPr>
                <w:rFonts w:hint="eastAsia" w:ascii="宋体" w:cs="宋体"/>
                <w:sz w:val="24"/>
                <w:szCs w:val="24"/>
                <w:lang w:val="zh-CN"/>
              </w:rPr>
              <w:t>3、江苏省住房和城乡建设厅（苏建价〔2026〕76号）发布的《江苏省建筑与装饰工程消耗量》《江苏省市政工程消耗量》《江苏省通用安装工程消耗量》《江苏省建设工程费用参考》及《江苏建设工程施工机具台班费用参考表》；</w:t>
            </w:r>
          </w:p>
          <w:p w14:paraId="64CF3D22">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ascii="宋体" w:cs="宋体"/>
                <w:sz w:val="24"/>
                <w:szCs w:val="24"/>
                <w:lang w:val="zh-CN"/>
              </w:rPr>
            </w:pPr>
            <w:r>
              <w:rPr>
                <w:rFonts w:hint="eastAsia" w:ascii="宋体" w:cs="宋体"/>
                <w:sz w:val="24"/>
                <w:szCs w:val="24"/>
                <w:lang w:val="en-US" w:eastAsia="zh-CN"/>
              </w:rPr>
              <w:t>4</w:t>
            </w:r>
            <w:r>
              <w:rPr>
                <w:rFonts w:hint="eastAsia" w:ascii="宋体" w:cs="宋体"/>
                <w:sz w:val="24"/>
                <w:szCs w:val="24"/>
                <w:lang w:val="zh-CN"/>
              </w:rPr>
              <w:t>、苏建价（2016）154号《省住房城乡建设厅关于建筑业实施营改增后江苏省建设工程计价依据调整的通知》。</w:t>
            </w:r>
          </w:p>
          <w:p w14:paraId="44B06A23">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ascii="宋体" w:cs="宋体"/>
                <w:sz w:val="24"/>
                <w:szCs w:val="24"/>
                <w:lang w:val="zh-CN"/>
              </w:rPr>
            </w:pPr>
            <w:r>
              <w:rPr>
                <w:rFonts w:hint="eastAsia" w:ascii="宋体" w:cs="宋体"/>
                <w:sz w:val="24"/>
                <w:szCs w:val="24"/>
                <w:lang w:val="en-US" w:eastAsia="zh-CN"/>
              </w:rPr>
              <w:t>5</w:t>
            </w:r>
            <w:r>
              <w:rPr>
                <w:rFonts w:hint="eastAsia" w:ascii="宋体" w:cs="宋体"/>
                <w:sz w:val="24"/>
                <w:szCs w:val="24"/>
                <w:lang w:val="zh-CN"/>
              </w:rPr>
              <w:t>、</w:t>
            </w:r>
            <w:r>
              <w:rPr>
                <w:rFonts w:ascii="宋体" w:cs="宋体"/>
                <w:sz w:val="24"/>
                <w:szCs w:val="24"/>
                <w:lang w:val="zh-CN"/>
              </w:rPr>
              <w:t>苏建</w:t>
            </w:r>
            <w:r>
              <w:rPr>
                <w:rFonts w:hint="eastAsia" w:ascii="宋体" w:cs="宋体"/>
                <w:sz w:val="24"/>
                <w:szCs w:val="24"/>
                <w:lang w:val="zh-CN"/>
              </w:rPr>
              <w:t>函</w:t>
            </w:r>
            <w:r>
              <w:rPr>
                <w:rFonts w:ascii="宋体" w:cs="宋体"/>
                <w:sz w:val="24"/>
                <w:szCs w:val="24"/>
                <w:lang w:val="zh-CN"/>
              </w:rPr>
              <w:t>价（2018）298号《省住房城乡建设厅关于建筑业</w:t>
            </w:r>
            <w:r>
              <w:rPr>
                <w:rFonts w:hint="eastAsia" w:ascii="宋体" w:cs="宋体"/>
                <w:sz w:val="24"/>
                <w:szCs w:val="24"/>
                <w:lang w:val="zh-CN"/>
              </w:rPr>
              <w:t>增值税计价政策</w:t>
            </w:r>
            <w:r>
              <w:rPr>
                <w:rFonts w:ascii="宋体" w:cs="宋体"/>
                <w:sz w:val="24"/>
                <w:szCs w:val="24"/>
                <w:lang w:val="zh-CN"/>
              </w:rPr>
              <w:t>调整的通知》</w:t>
            </w:r>
            <w:r>
              <w:rPr>
                <w:rFonts w:hint="eastAsia" w:ascii="宋体" w:cs="宋体"/>
                <w:sz w:val="24"/>
                <w:szCs w:val="24"/>
                <w:lang w:val="zh-CN"/>
              </w:rPr>
              <w:t>。</w:t>
            </w:r>
          </w:p>
          <w:p w14:paraId="1BD8CCBC">
            <w:pPr>
              <w:keepNext w:val="0"/>
              <w:keepLines w:val="0"/>
              <w:pageBreakBefore w:val="0"/>
              <w:widowControl w:val="0"/>
              <w:kinsoku/>
              <w:wordWrap/>
              <w:overflowPunct/>
              <w:topLinePunct w:val="0"/>
              <w:autoSpaceDE w:val="0"/>
              <w:autoSpaceDN w:val="0"/>
              <w:bidi w:val="0"/>
              <w:adjustRightInd w:val="0"/>
              <w:snapToGrid w:val="0"/>
              <w:spacing w:line="400" w:lineRule="exact"/>
              <w:ind w:right="0" w:firstLine="480" w:firstLineChars="200"/>
              <w:jc w:val="left"/>
              <w:textAlignment w:val="auto"/>
              <w:rPr>
                <w:rFonts w:hint="eastAsia" w:ascii="宋体" w:cs="宋体"/>
                <w:sz w:val="24"/>
                <w:szCs w:val="24"/>
              </w:rPr>
            </w:pPr>
            <w:r>
              <w:rPr>
                <w:rFonts w:hint="eastAsia" w:ascii="宋体" w:cs="宋体"/>
                <w:sz w:val="24"/>
                <w:szCs w:val="24"/>
                <w:lang w:val="en-US" w:eastAsia="zh-CN"/>
              </w:rPr>
              <w:t>6</w:t>
            </w:r>
            <w:r>
              <w:rPr>
                <w:rFonts w:hint="eastAsia" w:ascii="宋体" w:cs="宋体"/>
                <w:sz w:val="24"/>
                <w:szCs w:val="24"/>
              </w:rPr>
              <w:t>、苏建函价〔2019〕178号《省住房城乡建设厅关于调整建设工程计价增值税税率的通知》。</w:t>
            </w:r>
          </w:p>
          <w:p w14:paraId="30B44FA6">
            <w:pPr>
              <w:keepNext w:val="0"/>
              <w:keepLines w:val="0"/>
              <w:pageBreakBefore w:val="0"/>
              <w:kinsoku/>
              <w:wordWrap/>
              <w:overflowPunct/>
              <w:topLinePunct w:val="0"/>
              <w:autoSpaceDE w:val="0"/>
              <w:autoSpaceDN w:val="0"/>
              <w:bidi w:val="0"/>
              <w:adjustRightInd w:val="0"/>
              <w:snapToGrid w:val="0"/>
              <w:spacing w:line="400" w:lineRule="exact"/>
              <w:ind w:right="170" w:firstLine="480" w:firstLineChars="200"/>
              <w:jc w:val="left"/>
              <w:textAlignment w:val="auto"/>
              <w:rPr>
                <w:rFonts w:hint="eastAsia" w:ascii="宋体" w:cs="宋体"/>
                <w:kern w:val="0"/>
                <w:sz w:val="24"/>
                <w:szCs w:val="24"/>
                <w:lang w:val="zh-CN"/>
              </w:rPr>
            </w:pPr>
            <w:r>
              <w:rPr>
                <w:rFonts w:hint="eastAsia" w:ascii="宋体" w:cs="宋体"/>
                <w:kern w:val="0"/>
                <w:sz w:val="24"/>
                <w:szCs w:val="24"/>
                <w:lang w:val="en-US" w:eastAsia="zh-CN"/>
              </w:rPr>
              <w:t>7</w:t>
            </w:r>
            <w:r>
              <w:rPr>
                <w:rFonts w:hint="eastAsia" w:ascii="宋体" w:cs="宋体"/>
                <w:kern w:val="0"/>
                <w:sz w:val="24"/>
                <w:szCs w:val="24"/>
              </w:rPr>
              <w:t>、</w:t>
            </w:r>
            <w:r>
              <w:rPr>
                <w:rFonts w:hint="eastAsia" w:ascii="宋体" w:cs="宋体"/>
                <w:sz w:val="24"/>
                <w:szCs w:val="24"/>
                <w:lang w:val="zh-CN"/>
              </w:rPr>
              <w:t>无锡市建设局有关文件</w:t>
            </w:r>
            <w:r>
              <w:rPr>
                <w:rFonts w:hint="eastAsia" w:ascii="宋体" w:cs="宋体"/>
                <w:sz w:val="24"/>
                <w:szCs w:val="24"/>
                <w:lang w:val="en-US" w:eastAsia="zh-CN"/>
              </w:rPr>
              <w:t>及</w:t>
            </w:r>
            <w:r>
              <w:rPr>
                <w:rFonts w:hint="eastAsia" w:ascii="宋体" w:cs="宋体"/>
                <w:kern w:val="0"/>
                <w:sz w:val="24"/>
                <w:szCs w:val="24"/>
                <w:lang w:val="zh-CN"/>
              </w:rPr>
              <w:t>本工程招标文件。</w:t>
            </w:r>
          </w:p>
          <w:p w14:paraId="3BA4982D">
            <w:pPr>
              <w:keepNext w:val="0"/>
              <w:keepLines w:val="0"/>
              <w:pageBreakBefore w:val="0"/>
              <w:kinsoku/>
              <w:wordWrap/>
              <w:overflowPunct/>
              <w:topLinePunct w:val="0"/>
              <w:autoSpaceDE w:val="0"/>
              <w:autoSpaceDN w:val="0"/>
              <w:bidi w:val="0"/>
              <w:adjustRightInd w:val="0"/>
              <w:snapToGrid w:val="0"/>
              <w:spacing w:line="400" w:lineRule="exact"/>
              <w:ind w:right="170"/>
              <w:jc w:val="left"/>
              <w:textAlignment w:val="auto"/>
              <w:rPr>
                <w:rFonts w:hint="eastAsia" w:ascii="宋体" w:cs="宋体"/>
                <w:kern w:val="0"/>
                <w:sz w:val="24"/>
                <w:szCs w:val="24"/>
                <w:lang w:val="zh-CN"/>
              </w:rPr>
            </w:pPr>
            <w:r>
              <w:rPr>
                <w:rFonts w:hint="eastAsia" w:ascii="宋体" w:cs="宋体"/>
                <w:kern w:val="0"/>
                <w:sz w:val="24"/>
                <w:szCs w:val="24"/>
                <w:lang w:val="zh-CN"/>
              </w:rPr>
              <w:t>四、工程质量、材料、施工等的特殊要求</w:t>
            </w:r>
          </w:p>
          <w:p w14:paraId="760606FB">
            <w:pPr>
              <w:keepNext w:val="0"/>
              <w:keepLines w:val="0"/>
              <w:pageBreakBefore w:val="0"/>
              <w:kinsoku/>
              <w:wordWrap/>
              <w:overflowPunct/>
              <w:topLinePunct w:val="0"/>
              <w:autoSpaceDE w:val="0"/>
              <w:autoSpaceDN w:val="0"/>
              <w:bidi w:val="0"/>
              <w:adjustRightInd w:val="0"/>
              <w:snapToGrid w:val="0"/>
              <w:spacing w:line="400" w:lineRule="exact"/>
              <w:ind w:right="170" w:firstLine="480" w:firstLineChars="200"/>
              <w:jc w:val="left"/>
              <w:textAlignment w:val="auto"/>
              <w:rPr>
                <w:rFonts w:hint="eastAsia"/>
                <w:kern w:val="0"/>
                <w:sz w:val="24"/>
                <w:szCs w:val="24"/>
              </w:rPr>
            </w:pPr>
            <w:r>
              <w:rPr>
                <w:kern w:val="0"/>
                <w:sz w:val="24"/>
                <w:szCs w:val="24"/>
              </w:rPr>
              <w:t>1.</w:t>
            </w:r>
            <w:r>
              <w:rPr>
                <w:rFonts w:hint="eastAsia" w:ascii="宋体" w:cs="宋体"/>
                <w:kern w:val="0"/>
                <w:sz w:val="24"/>
                <w:szCs w:val="24"/>
                <w:lang w:val="zh-CN"/>
              </w:rPr>
              <w:t>工程质量：见招标文件</w:t>
            </w:r>
          </w:p>
          <w:p w14:paraId="2C91842F">
            <w:pPr>
              <w:keepNext w:val="0"/>
              <w:keepLines w:val="0"/>
              <w:pageBreakBefore w:val="0"/>
              <w:kinsoku/>
              <w:wordWrap/>
              <w:overflowPunct/>
              <w:topLinePunct w:val="0"/>
              <w:autoSpaceDE w:val="0"/>
              <w:autoSpaceDN w:val="0"/>
              <w:bidi w:val="0"/>
              <w:adjustRightInd w:val="0"/>
              <w:snapToGrid w:val="0"/>
              <w:spacing w:line="400" w:lineRule="exact"/>
              <w:ind w:right="170" w:firstLine="480" w:firstLineChars="200"/>
              <w:jc w:val="left"/>
              <w:textAlignment w:val="auto"/>
              <w:rPr>
                <w:kern w:val="0"/>
                <w:sz w:val="24"/>
                <w:szCs w:val="24"/>
              </w:rPr>
            </w:pPr>
            <w:r>
              <w:rPr>
                <w:rFonts w:hint="eastAsia"/>
                <w:kern w:val="0"/>
                <w:sz w:val="24"/>
                <w:szCs w:val="24"/>
              </w:rPr>
              <w:t>2</w:t>
            </w:r>
            <w:r>
              <w:rPr>
                <w:kern w:val="0"/>
                <w:sz w:val="24"/>
                <w:szCs w:val="24"/>
              </w:rPr>
              <w:t>.</w:t>
            </w:r>
            <w:r>
              <w:rPr>
                <w:rFonts w:hint="eastAsia" w:ascii="宋体" w:cs="宋体"/>
                <w:kern w:val="0"/>
                <w:sz w:val="24"/>
                <w:szCs w:val="24"/>
                <w:lang w:val="zh-CN"/>
              </w:rPr>
              <w:t>其他：符合相关规定和验收要求</w:t>
            </w:r>
          </w:p>
          <w:p w14:paraId="62F42764">
            <w:pPr>
              <w:keepNext w:val="0"/>
              <w:keepLines w:val="0"/>
              <w:pageBreakBefore w:val="0"/>
              <w:kinsoku/>
              <w:wordWrap/>
              <w:overflowPunct/>
              <w:topLinePunct w:val="0"/>
              <w:autoSpaceDE w:val="0"/>
              <w:autoSpaceDN w:val="0"/>
              <w:bidi w:val="0"/>
              <w:adjustRightInd w:val="0"/>
              <w:snapToGrid w:val="0"/>
              <w:spacing w:line="400" w:lineRule="exact"/>
              <w:ind w:right="170"/>
              <w:jc w:val="left"/>
              <w:textAlignment w:val="auto"/>
              <w:rPr>
                <w:kern w:val="0"/>
                <w:sz w:val="24"/>
                <w:szCs w:val="24"/>
              </w:rPr>
            </w:pPr>
            <w:r>
              <w:rPr>
                <w:rFonts w:hint="eastAsia" w:ascii="宋体" w:cs="宋体"/>
                <w:kern w:val="0"/>
                <w:sz w:val="24"/>
                <w:szCs w:val="24"/>
                <w:lang w:val="zh-CN"/>
              </w:rPr>
              <w:t>五、招标人自行采购材料的名称、规格型号：</w:t>
            </w:r>
            <w:r>
              <w:rPr>
                <w:rFonts w:hint="eastAsia" w:ascii="宋体" w:cs="宋体"/>
                <w:kern w:val="0"/>
                <w:sz w:val="24"/>
                <w:szCs w:val="24"/>
              </w:rPr>
              <w:t>无</w:t>
            </w:r>
            <w:r>
              <w:rPr>
                <w:rFonts w:hint="eastAsia" w:ascii="宋体" w:cs="宋体"/>
                <w:kern w:val="0"/>
                <w:sz w:val="24"/>
                <w:szCs w:val="24"/>
                <w:lang w:val="zh-CN"/>
              </w:rPr>
              <w:t>。</w:t>
            </w:r>
          </w:p>
          <w:p w14:paraId="7A0E3EC3">
            <w:pPr>
              <w:keepNext w:val="0"/>
              <w:keepLines w:val="0"/>
              <w:pageBreakBefore w:val="0"/>
              <w:tabs>
                <w:tab w:val="left" w:pos="1080"/>
              </w:tabs>
              <w:kinsoku/>
              <w:wordWrap/>
              <w:overflowPunct/>
              <w:topLinePunct w:val="0"/>
              <w:autoSpaceDE w:val="0"/>
              <w:autoSpaceDN w:val="0"/>
              <w:bidi w:val="0"/>
              <w:adjustRightInd w:val="0"/>
              <w:snapToGrid w:val="0"/>
              <w:spacing w:line="400" w:lineRule="exact"/>
              <w:ind w:left="480" w:hanging="480"/>
              <w:textAlignment w:val="auto"/>
              <w:rPr>
                <w:kern w:val="0"/>
                <w:sz w:val="24"/>
                <w:szCs w:val="24"/>
              </w:rPr>
            </w:pPr>
            <w:r>
              <w:rPr>
                <w:rFonts w:hint="eastAsia" w:ascii="宋体" w:cs="宋体"/>
                <w:kern w:val="0"/>
                <w:sz w:val="24"/>
                <w:szCs w:val="24"/>
                <w:lang w:val="zh-CN"/>
              </w:rPr>
              <w:t>六、预留金及暂定价：</w:t>
            </w:r>
          </w:p>
          <w:p w14:paraId="41D6FC48">
            <w:pPr>
              <w:keepNext w:val="0"/>
              <w:keepLines w:val="0"/>
              <w:pageBreakBefore w:val="0"/>
              <w:tabs>
                <w:tab w:val="left" w:pos="1080"/>
              </w:tabs>
              <w:kinsoku/>
              <w:wordWrap/>
              <w:overflowPunct/>
              <w:topLinePunct w:val="0"/>
              <w:autoSpaceDE w:val="0"/>
              <w:autoSpaceDN w:val="0"/>
              <w:bidi w:val="0"/>
              <w:adjustRightInd w:val="0"/>
              <w:snapToGrid w:val="0"/>
              <w:spacing w:line="400" w:lineRule="exact"/>
              <w:ind w:left="479"/>
              <w:textAlignment w:val="auto"/>
              <w:rPr>
                <w:rFonts w:hint="default" w:ascii="宋体" w:cs="宋体"/>
                <w:kern w:val="0"/>
                <w:sz w:val="24"/>
                <w:szCs w:val="24"/>
                <w:lang w:val="en-US"/>
              </w:rPr>
            </w:pPr>
            <w:r>
              <w:rPr>
                <w:rFonts w:hint="eastAsia" w:ascii="宋体" w:cs="宋体"/>
                <w:kern w:val="0"/>
                <w:sz w:val="24"/>
                <w:szCs w:val="24"/>
              </w:rPr>
              <w:t>暂列金</w:t>
            </w:r>
            <w:r>
              <w:rPr>
                <w:rFonts w:hint="eastAsia" w:ascii="宋体" w:cs="宋体"/>
                <w:kern w:val="0"/>
                <w:sz w:val="24"/>
                <w:szCs w:val="24"/>
                <w:lang w:eastAsia="zh-CN"/>
              </w:rPr>
              <w:t>：</w:t>
            </w:r>
            <w:r>
              <w:rPr>
                <w:rFonts w:hint="eastAsia" w:ascii="宋体" w:cs="宋体"/>
                <w:kern w:val="0"/>
                <w:sz w:val="24"/>
                <w:szCs w:val="24"/>
                <w:lang w:val="en-US" w:eastAsia="zh-CN"/>
              </w:rPr>
              <w:t>0元。</w:t>
            </w:r>
          </w:p>
          <w:p w14:paraId="6B14AE98">
            <w:pPr>
              <w:keepNext w:val="0"/>
              <w:keepLines w:val="0"/>
              <w:pageBreakBefore w:val="0"/>
              <w:kinsoku/>
              <w:wordWrap/>
              <w:overflowPunct/>
              <w:topLinePunct w:val="0"/>
              <w:autoSpaceDE w:val="0"/>
              <w:autoSpaceDN w:val="0"/>
              <w:bidi w:val="0"/>
              <w:adjustRightInd w:val="0"/>
              <w:snapToGrid w:val="0"/>
              <w:spacing w:line="400" w:lineRule="exact"/>
              <w:ind w:right="170"/>
              <w:jc w:val="left"/>
              <w:textAlignment w:val="auto"/>
              <w:rPr>
                <w:kern w:val="0"/>
                <w:sz w:val="24"/>
                <w:szCs w:val="24"/>
              </w:rPr>
            </w:pPr>
            <w:r>
              <w:rPr>
                <w:rFonts w:hint="eastAsia" w:ascii="宋体" w:cs="宋体"/>
                <w:kern w:val="0"/>
                <w:sz w:val="24"/>
                <w:szCs w:val="24"/>
                <w:lang w:val="zh-CN"/>
              </w:rPr>
              <w:t>七、其他须说明的问题：</w:t>
            </w:r>
          </w:p>
          <w:p w14:paraId="2B9A74F5">
            <w:pPr>
              <w:keepNext w:val="0"/>
              <w:keepLines w:val="0"/>
              <w:pageBreakBefore w:val="0"/>
              <w:kinsoku/>
              <w:wordWrap/>
              <w:overflowPunct/>
              <w:topLinePunct w:val="0"/>
              <w:bidi w:val="0"/>
              <w:adjustRightInd w:val="0"/>
              <w:snapToGrid w:val="0"/>
              <w:spacing w:line="400" w:lineRule="exact"/>
              <w:ind w:left="420" w:firstLine="480" w:firstLineChars="200"/>
              <w:textAlignment w:val="auto"/>
              <w:rPr>
                <w:rFonts w:hint="eastAsia" w:ascii="宋体" w:hAnsi="宋体"/>
                <w:sz w:val="24"/>
                <w:szCs w:val="24"/>
              </w:rPr>
            </w:pPr>
            <w:r>
              <w:rPr>
                <w:rFonts w:hint="eastAsia" w:ascii="宋体" w:hAnsi="宋体"/>
                <w:sz w:val="24"/>
                <w:szCs w:val="24"/>
              </w:rPr>
              <w:t>1、招标人设暂列金额及暂估价的，投标人投标报价时必须按招标人提供的暂列金额及暂估价报价，竣工结算时按有关规定结算。</w:t>
            </w:r>
          </w:p>
          <w:p w14:paraId="33C13C20">
            <w:pPr>
              <w:keepNext w:val="0"/>
              <w:keepLines w:val="0"/>
              <w:pageBreakBefore w:val="0"/>
              <w:kinsoku/>
              <w:wordWrap/>
              <w:overflowPunct/>
              <w:topLinePunct w:val="0"/>
              <w:bidi w:val="0"/>
              <w:adjustRightInd w:val="0"/>
              <w:snapToGrid w:val="0"/>
              <w:spacing w:line="400" w:lineRule="exact"/>
              <w:ind w:left="420" w:firstLine="480" w:firstLineChars="200"/>
              <w:textAlignment w:val="auto"/>
              <w:rPr>
                <w:rFonts w:hint="eastAsia" w:ascii="宋体" w:hAnsi="宋体"/>
                <w:sz w:val="24"/>
                <w:szCs w:val="24"/>
              </w:rPr>
            </w:pPr>
            <w:r>
              <w:rPr>
                <w:rFonts w:hint="eastAsia" w:ascii="宋体" w:hAnsi="宋体"/>
                <w:sz w:val="24"/>
                <w:szCs w:val="24"/>
              </w:rPr>
              <w:t>2、各投标单位的最终报价必须包括完成本工程施工的所有费用在内。</w:t>
            </w:r>
          </w:p>
          <w:p w14:paraId="145A9B9D">
            <w:pPr>
              <w:keepNext w:val="0"/>
              <w:keepLines w:val="0"/>
              <w:pageBreakBefore w:val="0"/>
              <w:kinsoku/>
              <w:wordWrap/>
              <w:overflowPunct/>
              <w:topLinePunct w:val="0"/>
              <w:bidi w:val="0"/>
              <w:adjustRightInd w:val="0"/>
              <w:snapToGrid w:val="0"/>
              <w:spacing w:line="400" w:lineRule="exact"/>
              <w:ind w:left="420" w:firstLine="480" w:firstLineChars="200"/>
              <w:textAlignment w:val="auto"/>
              <w:rPr>
                <w:rFonts w:hint="eastAsia" w:ascii="宋体" w:hAnsi="宋体"/>
                <w:sz w:val="24"/>
                <w:szCs w:val="24"/>
              </w:rPr>
            </w:pPr>
            <w:r>
              <w:rPr>
                <w:rFonts w:hint="eastAsia" w:ascii="宋体" w:hAnsi="宋体"/>
                <w:sz w:val="24"/>
                <w:szCs w:val="24"/>
              </w:rPr>
              <w:t>3、对招标人所列的措施项目，投标人可根据工程实际与施工组织设计进行增补，但不应更改招标人已列措施项目。结算时，除工程变更引起施工方案改变外，中标人不得以招标工程措施项目清单缺项为由要求新增措施项目（</w:t>
            </w:r>
            <w:r>
              <w:rPr>
                <w:rFonts w:hint="eastAsia" w:ascii="宋体" w:hAnsi="宋体"/>
                <w:sz w:val="24"/>
                <w:szCs w:val="24"/>
                <w:lang w:val="en-US" w:eastAsia="zh-CN"/>
              </w:rPr>
              <w:t>具体按照</w:t>
            </w:r>
            <w:r>
              <w:rPr>
                <w:rFonts w:hint="eastAsia" w:ascii="宋体" w:cs="宋体"/>
                <w:sz w:val="24"/>
                <w:szCs w:val="24"/>
                <w:lang w:val="zh-CN"/>
              </w:rPr>
              <w:t>苏建价〔2026〕76号</w:t>
            </w:r>
            <w:r>
              <w:rPr>
                <w:rFonts w:hint="eastAsia" w:ascii="宋体" w:hAnsi="宋体"/>
                <w:sz w:val="24"/>
                <w:szCs w:val="24"/>
              </w:rPr>
              <w:t>文规定执行）。</w:t>
            </w:r>
          </w:p>
          <w:p w14:paraId="68CDEAA7">
            <w:pPr>
              <w:keepNext w:val="0"/>
              <w:keepLines w:val="0"/>
              <w:pageBreakBefore w:val="0"/>
              <w:kinsoku/>
              <w:wordWrap/>
              <w:overflowPunct/>
              <w:topLinePunct w:val="0"/>
              <w:bidi w:val="0"/>
              <w:adjustRightInd w:val="0"/>
              <w:snapToGrid w:val="0"/>
              <w:spacing w:line="400" w:lineRule="exact"/>
              <w:ind w:left="420" w:firstLine="482" w:firstLineChars="200"/>
              <w:textAlignment w:val="auto"/>
              <w:rPr>
                <w:rFonts w:hint="eastAsia" w:ascii="宋体" w:hAnsi="宋体"/>
                <w:b/>
                <w:bCs/>
                <w:sz w:val="24"/>
                <w:szCs w:val="24"/>
                <w:lang w:val="en-US" w:eastAsia="zh-CN"/>
              </w:rPr>
            </w:pPr>
            <w:r>
              <w:rPr>
                <w:rFonts w:hint="eastAsia" w:ascii="宋体" w:hAnsi="宋体"/>
                <w:b/>
                <w:bCs/>
                <w:sz w:val="24"/>
                <w:szCs w:val="24"/>
                <w:lang w:val="en-US" w:eastAsia="zh-CN"/>
              </w:rPr>
              <w:t>4、投标人不得改变不可竞争费用标准计取（结算时根据有关规定按照不同类别调整）</w:t>
            </w:r>
          </w:p>
          <w:tbl>
            <w:tblPr>
              <w:tblStyle w:val="7"/>
              <w:tblW w:w="8260"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0"/>
              <w:gridCol w:w="2540"/>
              <w:gridCol w:w="2580"/>
              <w:gridCol w:w="2030"/>
            </w:tblGrid>
            <w:tr w14:paraId="3FB98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1110" w:type="dxa"/>
                  <w:vMerge w:val="restart"/>
                  <w:noWrap w:val="0"/>
                  <w:vAlign w:val="center"/>
                </w:tcPr>
                <w:p w14:paraId="308B7F34">
                  <w:pPr>
                    <w:spacing w:line="540" w:lineRule="exact"/>
                    <w:jc w:val="center"/>
                    <w:rPr>
                      <w:rFonts w:hint="eastAsia" w:ascii="宋体" w:hAnsi="宋体"/>
                      <w:sz w:val="24"/>
                      <w:szCs w:val="24"/>
                    </w:rPr>
                  </w:pPr>
                  <w:r>
                    <w:rPr>
                      <w:rFonts w:hint="eastAsia" w:ascii="宋体" w:hAnsi="宋体"/>
                      <w:sz w:val="24"/>
                      <w:szCs w:val="24"/>
                    </w:rPr>
                    <w:t>序号</w:t>
                  </w:r>
                </w:p>
              </w:tc>
              <w:tc>
                <w:tcPr>
                  <w:tcW w:w="2540" w:type="dxa"/>
                  <w:vMerge w:val="restart"/>
                  <w:noWrap w:val="0"/>
                  <w:vAlign w:val="center"/>
                </w:tcPr>
                <w:p w14:paraId="5F04BDF8">
                  <w:pPr>
                    <w:spacing w:line="540" w:lineRule="exact"/>
                    <w:jc w:val="center"/>
                    <w:rPr>
                      <w:rFonts w:hint="eastAsia" w:ascii="宋体" w:hAnsi="宋体"/>
                      <w:sz w:val="24"/>
                      <w:szCs w:val="24"/>
                    </w:rPr>
                  </w:pPr>
                  <w:r>
                    <w:rPr>
                      <w:rFonts w:hint="eastAsia" w:ascii="宋体" w:hAnsi="宋体"/>
                      <w:sz w:val="24"/>
                      <w:szCs w:val="24"/>
                    </w:rPr>
                    <w:t>项目名称</w:t>
                  </w:r>
                </w:p>
              </w:tc>
              <w:tc>
                <w:tcPr>
                  <w:tcW w:w="2580" w:type="dxa"/>
                  <w:vMerge w:val="restart"/>
                  <w:noWrap w:val="0"/>
                  <w:vAlign w:val="center"/>
                </w:tcPr>
                <w:p w14:paraId="1BBD1F70">
                  <w:pPr>
                    <w:spacing w:line="54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安全生产</w:t>
                  </w:r>
                </w:p>
              </w:tc>
              <w:tc>
                <w:tcPr>
                  <w:tcW w:w="2030" w:type="dxa"/>
                  <w:vMerge w:val="restart"/>
                  <w:noWrap w:val="0"/>
                  <w:vAlign w:val="center"/>
                </w:tcPr>
                <w:p w14:paraId="5660EAC0">
                  <w:pPr>
                    <w:spacing w:line="540" w:lineRule="exact"/>
                    <w:jc w:val="center"/>
                    <w:rPr>
                      <w:rFonts w:hint="default" w:ascii="宋体" w:hAnsi="宋体" w:eastAsia="宋体"/>
                      <w:sz w:val="24"/>
                      <w:szCs w:val="24"/>
                      <w:lang w:val="en-US" w:eastAsia="zh-CN"/>
                    </w:rPr>
                  </w:pPr>
                  <w:r>
                    <w:rPr>
                      <w:rFonts w:hint="eastAsia" w:ascii="宋体" w:hAnsi="宋体"/>
                      <w:sz w:val="24"/>
                      <w:szCs w:val="24"/>
                      <w:lang w:val="en-US" w:eastAsia="zh-CN"/>
                    </w:rPr>
                    <w:t>增值税</w:t>
                  </w:r>
                </w:p>
              </w:tc>
            </w:tr>
            <w:tr w14:paraId="1AAE8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1110" w:type="dxa"/>
                  <w:vMerge w:val="continue"/>
                  <w:noWrap w:val="0"/>
                  <w:vAlign w:val="center"/>
                </w:tcPr>
                <w:p w14:paraId="4C648678">
                  <w:pPr>
                    <w:spacing w:line="540" w:lineRule="exact"/>
                    <w:jc w:val="center"/>
                    <w:rPr>
                      <w:rFonts w:hint="eastAsia" w:ascii="宋体" w:hAnsi="宋体"/>
                      <w:sz w:val="24"/>
                      <w:szCs w:val="24"/>
                    </w:rPr>
                  </w:pPr>
                </w:p>
              </w:tc>
              <w:tc>
                <w:tcPr>
                  <w:tcW w:w="2540" w:type="dxa"/>
                  <w:vMerge w:val="continue"/>
                  <w:noWrap w:val="0"/>
                  <w:vAlign w:val="center"/>
                </w:tcPr>
                <w:p w14:paraId="65AE4961">
                  <w:pPr>
                    <w:spacing w:line="540" w:lineRule="exact"/>
                    <w:jc w:val="center"/>
                    <w:rPr>
                      <w:rFonts w:hint="eastAsia" w:ascii="宋体" w:hAnsi="宋体"/>
                      <w:sz w:val="24"/>
                      <w:szCs w:val="24"/>
                    </w:rPr>
                  </w:pPr>
                </w:p>
              </w:tc>
              <w:tc>
                <w:tcPr>
                  <w:tcW w:w="2580" w:type="dxa"/>
                  <w:vMerge w:val="continue"/>
                  <w:noWrap w:val="0"/>
                  <w:vAlign w:val="center"/>
                </w:tcPr>
                <w:p w14:paraId="378140FA">
                  <w:pPr>
                    <w:spacing w:line="540" w:lineRule="exact"/>
                    <w:jc w:val="center"/>
                    <w:rPr>
                      <w:rFonts w:hint="eastAsia" w:ascii="宋体" w:hAnsi="宋体"/>
                      <w:sz w:val="24"/>
                      <w:szCs w:val="24"/>
                    </w:rPr>
                  </w:pPr>
                </w:p>
              </w:tc>
              <w:tc>
                <w:tcPr>
                  <w:tcW w:w="2030" w:type="dxa"/>
                  <w:vMerge w:val="continue"/>
                  <w:noWrap w:val="0"/>
                  <w:vAlign w:val="center"/>
                </w:tcPr>
                <w:p w14:paraId="0E4B5DE2">
                  <w:pPr>
                    <w:spacing w:line="540" w:lineRule="exact"/>
                    <w:jc w:val="center"/>
                    <w:rPr>
                      <w:rFonts w:hint="eastAsia" w:ascii="宋体" w:hAnsi="宋体"/>
                      <w:sz w:val="24"/>
                      <w:szCs w:val="24"/>
                    </w:rPr>
                  </w:pPr>
                </w:p>
              </w:tc>
            </w:tr>
            <w:tr w14:paraId="7491A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7E88A368">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w:t>
                  </w:r>
                </w:p>
              </w:tc>
              <w:tc>
                <w:tcPr>
                  <w:tcW w:w="2540" w:type="dxa"/>
                  <w:noWrap w:val="0"/>
                  <w:vAlign w:val="center"/>
                </w:tcPr>
                <w:p w14:paraId="2D946C01">
                  <w:pPr>
                    <w:spacing w:line="540" w:lineRule="exact"/>
                    <w:jc w:val="center"/>
                    <w:rPr>
                      <w:rFonts w:hint="default"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电力排管</w:t>
                  </w:r>
                  <w:r>
                    <w:rPr>
                      <w:rFonts w:hint="eastAsia" w:ascii="宋体" w:hAnsi="宋体" w:eastAsia="宋体" w:cs="Times New Roman"/>
                      <w:color w:val="000000"/>
                      <w:sz w:val="24"/>
                      <w:szCs w:val="24"/>
                      <w:lang w:val="en-US" w:eastAsia="zh-CN"/>
                    </w:rPr>
                    <w:t>工程</w:t>
                  </w:r>
                </w:p>
              </w:tc>
              <w:tc>
                <w:tcPr>
                  <w:tcW w:w="2580" w:type="dxa"/>
                  <w:noWrap w:val="0"/>
                  <w:vAlign w:val="center"/>
                </w:tcPr>
                <w:p w14:paraId="7751F2B7">
                  <w:pPr>
                    <w:spacing w:line="540" w:lineRule="exact"/>
                    <w:jc w:val="center"/>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1.9</w:t>
                  </w:r>
                </w:p>
              </w:tc>
              <w:tc>
                <w:tcPr>
                  <w:tcW w:w="2030" w:type="dxa"/>
                  <w:noWrap w:val="0"/>
                  <w:vAlign w:val="center"/>
                </w:tcPr>
                <w:p w14:paraId="3B9FF0C4">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r>
            <w:tr w14:paraId="6C39F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5D86F17D">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2</w:t>
                  </w:r>
                </w:p>
              </w:tc>
              <w:tc>
                <w:tcPr>
                  <w:tcW w:w="2540" w:type="dxa"/>
                  <w:noWrap w:val="0"/>
                  <w:vAlign w:val="center"/>
                </w:tcPr>
                <w:p w14:paraId="36602794">
                  <w:pPr>
                    <w:spacing w:line="540" w:lineRule="exact"/>
                    <w:jc w:val="center"/>
                    <w:rPr>
                      <w:rFonts w:hint="eastAsia" w:ascii="宋体" w:hAnsi="宋体"/>
                      <w:color w:val="000000"/>
                      <w:kern w:val="2"/>
                      <w:sz w:val="24"/>
                      <w:szCs w:val="24"/>
                      <w:lang w:val="en-US" w:eastAsia="zh-CN" w:bidi="ar-SA"/>
                    </w:rPr>
                  </w:pPr>
                  <w:r>
                    <w:rPr>
                      <w:rFonts w:hint="eastAsia" w:ascii="宋体" w:hAnsi="宋体"/>
                      <w:color w:val="000000"/>
                      <w:sz w:val="24"/>
                      <w:szCs w:val="24"/>
                      <w:lang w:val="en-US" w:eastAsia="zh-CN"/>
                    </w:rPr>
                    <w:t>电力安装</w:t>
                  </w:r>
                  <w:r>
                    <w:rPr>
                      <w:rFonts w:hint="eastAsia" w:ascii="宋体" w:hAnsi="宋体"/>
                      <w:color w:val="000000"/>
                      <w:sz w:val="24"/>
                      <w:szCs w:val="24"/>
                    </w:rPr>
                    <w:t>工程</w:t>
                  </w:r>
                </w:p>
              </w:tc>
              <w:tc>
                <w:tcPr>
                  <w:tcW w:w="2580" w:type="dxa"/>
                  <w:noWrap w:val="0"/>
                  <w:vAlign w:val="center"/>
                </w:tcPr>
                <w:p w14:paraId="4460B958">
                  <w:pPr>
                    <w:spacing w:line="540" w:lineRule="exact"/>
                    <w:jc w:val="center"/>
                    <w:rPr>
                      <w:rFonts w:hint="default" w:ascii="宋体" w:hAnsi="宋体" w:eastAsia="宋体"/>
                      <w:color w:val="000000"/>
                      <w:kern w:val="2"/>
                      <w:sz w:val="24"/>
                      <w:szCs w:val="24"/>
                      <w:lang w:val="en-US" w:eastAsia="zh-CN" w:bidi="ar-SA"/>
                    </w:rPr>
                  </w:pPr>
                  <w:r>
                    <w:rPr>
                      <w:rFonts w:hint="eastAsia" w:ascii="宋体" w:hAnsi="宋体"/>
                      <w:color w:val="000000"/>
                      <w:sz w:val="24"/>
                      <w:szCs w:val="24"/>
                      <w:lang w:val="en-US" w:eastAsia="zh-CN"/>
                    </w:rPr>
                    <w:t>2.9</w:t>
                  </w:r>
                </w:p>
              </w:tc>
              <w:tc>
                <w:tcPr>
                  <w:tcW w:w="2030" w:type="dxa"/>
                  <w:noWrap w:val="0"/>
                  <w:vAlign w:val="center"/>
                </w:tcPr>
                <w:p w14:paraId="2C0AFFD8">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9</w:t>
                  </w:r>
                </w:p>
              </w:tc>
            </w:tr>
          </w:tbl>
          <w:p w14:paraId="78ADF22D">
            <w:pPr>
              <w:spacing w:line="480" w:lineRule="auto"/>
              <w:ind w:right="170"/>
              <w:jc w:val="left"/>
              <w:rPr>
                <w:rFonts w:hint="eastAsia" w:ascii="宋体" w:cs="宋体"/>
                <w:sz w:val="24"/>
                <w:szCs w:val="24"/>
                <w:lang w:val="en-US" w:eastAsia="zh-CN"/>
              </w:rPr>
            </w:pPr>
          </w:p>
          <w:p w14:paraId="460B97BC">
            <w:pPr>
              <w:keepNext w:val="0"/>
              <w:keepLines w:val="0"/>
              <w:pageBreakBefore w:val="0"/>
              <w:kinsoku/>
              <w:wordWrap/>
              <w:overflowPunct/>
              <w:topLinePunct w:val="0"/>
              <w:bidi w:val="0"/>
              <w:adjustRightInd w:val="0"/>
              <w:snapToGrid w:val="0"/>
              <w:spacing w:line="400" w:lineRule="exact"/>
              <w:ind w:left="420" w:firstLine="482" w:firstLineChars="200"/>
              <w:textAlignment w:val="auto"/>
              <w:rPr>
                <w:rFonts w:hint="default" w:ascii="宋体" w:hAnsi="宋体"/>
                <w:b/>
                <w:bCs/>
                <w:sz w:val="24"/>
                <w:szCs w:val="24"/>
                <w:lang w:val="en-US" w:eastAsia="zh-CN"/>
              </w:rPr>
            </w:pPr>
            <w:r>
              <w:rPr>
                <w:rFonts w:hint="eastAsia" w:ascii="宋体" w:hAnsi="宋体"/>
                <w:b/>
                <w:bCs/>
                <w:sz w:val="24"/>
                <w:szCs w:val="24"/>
                <w:lang w:val="en-US" w:eastAsia="zh-CN"/>
              </w:rPr>
              <w:t>5、品牌表</w:t>
            </w:r>
          </w:p>
          <w:tbl>
            <w:tblPr>
              <w:tblStyle w:val="7"/>
              <w:tblW w:w="8263"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0"/>
              <w:gridCol w:w="1798"/>
              <w:gridCol w:w="1545"/>
              <w:gridCol w:w="1785"/>
              <w:gridCol w:w="2025"/>
            </w:tblGrid>
            <w:tr w14:paraId="3C0AA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trPr>
              <w:tc>
                <w:tcPr>
                  <w:tcW w:w="1110" w:type="dxa"/>
                  <w:noWrap w:val="0"/>
                  <w:vAlign w:val="center"/>
                </w:tcPr>
                <w:p w14:paraId="485D30B8">
                  <w:pPr>
                    <w:spacing w:line="540" w:lineRule="exact"/>
                    <w:jc w:val="center"/>
                    <w:rPr>
                      <w:rFonts w:hint="eastAsia" w:ascii="宋体" w:hAnsi="宋体"/>
                      <w:sz w:val="24"/>
                      <w:szCs w:val="24"/>
                    </w:rPr>
                  </w:pPr>
                  <w:r>
                    <w:rPr>
                      <w:rFonts w:hint="eastAsia" w:ascii="宋体" w:hAnsi="宋体"/>
                      <w:sz w:val="24"/>
                      <w:szCs w:val="24"/>
                    </w:rPr>
                    <w:t>序号</w:t>
                  </w:r>
                </w:p>
              </w:tc>
              <w:tc>
                <w:tcPr>
                  <w:tcW w:w="1798" w:type="dxa"/>
                  <w:noWrap w:val="0"/>
                  <w:vAlign w:val="center"/>
                </w:tcPr>
                <w:p w14:paraId="2FB7B814">
                  <w:pPr>
                    <w:spacing w:line="540" w:lineRule="exact"/>
                    <w:jc w:val="center"/>
                    <w:rPr>
                      <w:rFonts w:hint="eastAsia" w:ascii="宋体" w:hAnsi="宋体"/>
                      <w:sz w:val="24"/>
                      <w:szCs w:val="24"/>
                    </w:rPr>
                  </w:pPr>
                  <w:r>
                    <w:rPr>
                      <w:rFonts w:hint="eastAsia" w:ascii="宋体" w:hAnsi="宋体"/>
                      <w:sz w:val="24"/>
                      <w:szCs w:val="24"/>
                    </w:rPr>
                    <w:t>名称</w:t>
                  </w:r>
                </w:p>
              </w:tc>
              <w:tc>
                <w:tcPr>
                  <w:tcW w:w="1545" w:type="dxa"/>
                  <w:noWrap w:val="0"/>
                  <w:vAlign w:val="center"/>
                </w:tcPr>
                <w:p w14:paraId="5943B45F">
                  <w:pPr>
                    <w:spacing w:line="540" w:lineRule="exact"/>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品牌1</w:t>
                  </w:r>
                </w:p>
              </w:tc>
              <w:tc>
                <w:tcPr>
                  <w:tcW w:w="1785" w:type="dxa"/>
                  <w:noWrap w:val="0"/>
                  <w:vAlign w:val="center"/>
                </w:tcPr>
                <w:p w14:paraId="011919FE">
                  <w:pPr>
                    <w:spacing w:line="540" w:lineRule="exact"/>
                    <w:jc w:val="center"/>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品牌2</w:t>
                  </w:r>
                </w:p>
              </w:tc>
              <w:tc>
                <w:tcPr>
                  <w:tcW w:w="2025" w:type="dxa"/>
                  <w:noWrap w:val="0"/>
                  <w:vAlign w:val="center"/>
                </w:tcPr>
                <w:p w14:paraId="18AE5E2F">
                  <w:pPr>
                    <w:spacing w:line="540" w:lineRule="exact"/>
                    <w:jc w:val="center"/>
                    <w:rPr>
                      <w:rFonts w:hint="eastAsia" w:ascii="宋体" w:hAnsi="宋体"/>
                      <w:color w:val="auto"/>
                      <w:sz w:val="24"/>
                      <w:szCs w:val="24"/>
                      <w:lang w:val="en-US" w:eastAsia="zh-CN"/>
                    </w:rPr>
                  </w:pPr>
                  <w:r>
                    <w:rPr>
                      <w:rFonts w:hint="eastAsia" w:ascii="宋体" w:hAnsi="宋体"/>
                      <w:color w:val="auto"/>
                      <w:sz w:val="24"/>
                      <w:szCs w:val="24"/>
                      <w:lang w:val="en-US" w:eastAsia="zh-CN"/>
                    </w:rPr>
                    <w:t>品牌3</w:t>
                  </w:r>
                </w:p>
              </w:tc>
            </w:tr>
            <w:tr w14:paraId="32510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308AF2B6">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1</w:t>
                  </w:r>
                </w:p>
              </w:tc>
              <w:tc>
                <w:tcPr>
                  <w:tcW w:w="1798" w:type="dxa"/>
                  <w:noWrap w:val="0"/>
                  <w:vAlign w:val="center"/>
                </w:tcPr>
                <w:p w14:paraId="7561E792">
                  <w:pPr>
                    <w:spacing w:line="540" w:lineRule="exact"/>
                    <w:jc w:val="center"/>
                    <w:rPr>
                      <w:rFonts w:hint="default" w:ascii="宋体" w:hAnsi="宋体" w:eastAsia="宋体" w:cs="Times New Roman"/>
                      <w:color w:val="000000"/>
                      <w:sz w:val="24"/>
                      <w:szCs w:val="24"/>
                      <w:lang w:val="en-US" w:eastAsia="zh-CN"/>
                    </w:rPr>
                  </w:pPr>
                  <w:r>
                    <w:rPr>
                      <w:rFonts w:hint="eastAsia" w:ascii="宋体" w:hAnsi="宋体" w:eastAsia="宋体" w:cs="宋体"/>
                      <w:i w:val="0"/>
                      <w:color w:val="auto"/>
                      <w:kern w:val="0"/>
                      <w:sz w:val="21"/>
                      <w:szCs w:val="21"/>
                      <w:u w:val="none"/>
                      <w:lang w:val="en-US" w:eastAsia="zh-CN" w:bidi="ar"/>
                    </w:rPr>
                    <w:t>电线、电缆</w:t>
                  </w:r>
                </w:p>
              </w:tc>
              <w:tc>
                <w:tcPr>
                  <w:tcW w:w="1545" w:type="dxa"/>
                  <w:shd w:val="clear" w:color="auto" w:fill="auto"/>
                  <w:noWrap w:val="0"/>
                  <w:vAlign w:val="center"/>
                </w:tcPr>
                <w:p w14:paraId="70EBF0FE">
                  <w:pPr>
                    <w:keepNext w:val="0"/>
                    <w:keepLines w:val="0"/>
                    <w:widowControl/>
                    <w:suppressLineNumbers w:val="0"/>
                    <w:jc w:val="center"/>
                    <w:textAlignment w:val="center"/>
                    <w:rPr>
                      <w:rFonts w:hint="default"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远东</w:t>
                  </w:r>
                </w:p>
              </w:tc>
              <w:tc>
                <w:tcPr>
                  <w:tcW w:w="1785" w:type="dxa"/>
                  <w:shd w:val="clear" w:color="auto" w:fill="auto"/>
                  <w:noWrap w:val="0"/>
                  <w:vAlign w:val="center"/>
                </w:tcPr>
                <w:p w14:paraId="6B33D66D">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cs="宋体"/>
                      <w:i w:val="0"/>
                      <w:color w:val="auto"/>
                      <w:kern w:val="0"/>
                      <w:sz w:val="21"/>
                      <w:szCs w:val="21"/>
                      <w:u w:val="none"/>
                      <w:lang w:val="en-US" w:eastAsia="zh-CN" w:bidi="ar"/>
                    </w:rPr>
                    <w:t>上上</w:t>
                  </w:r>
                </w:p>
              </w:tc>
              <w:tc>
                <w:tcPr>
                  <w:tcW w:w="2025" w:type="dxa"/>
                  <w:shd w:val="clear" w:color="auto" w:fill="auto"/>
                  <w:noWrap w:val="0"/>
                  <w:vAlign w:val="center"/>
                </w:tcPr>
                <w:p w14:paraId="352B6E0C">
                  <w:pPr>
                    <w:keepNext w:val="0"/>
                    <w:keepLines w:val="0"/>
                    <w:widowControl/>
                    <w:suppressLineNumbers w:val="0"/>
                    <w:jc w:val="center"/>
                    <w:textAlignment w:val="center"/>
                    <w:rPr>
                      <w:rFonts w:hint="eastAsia" w:ascii="宋体" w:hAnsi="宋体" w:eastAsia="宋体" w:cs="宋体"/>
                      <w:i w:val="0"/>
                      <w:color w:val="auto"/>
                      <w:kern w:val="2"/>
                      <w:sz w:val="21"/>
                      <w:szCs w:val="21"/>
                      <w:u w:val="none"/>
                      <w:lang w:val="en-US" w:eastAsia="zh-CN" w:bidi="ar-SA"/>
                    </w:rPr>
                  </w:pPr>
                  <w:r>
                    <w:rPr>
                      <w:rFonts w:hint="eastAsia" w:ascii="宋体" w:hAnsi="宋体" w:eastAsia="宋体" w:cs="宋体"/>
                      <w:i w:val="0"/>
                      <w:color w:val="auto"/>
                      <w:kern w:val="0"/>
                      <w:sz w:val="21"/>
                      <w:szCs w:val="21"/>
                      <w:u w:val="none"/>
                      <w:lang w:val="en-US" w:eastAsia="zh-CN" w:bidi="ar"/>
                    </w:rPr>
                    <w:t>江南</w:t>
                  </w:r>
                </w:p>
              </w:tc>
            </w:tr>
            <w:tr w14:paraId="576F4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1B7CB081">
                  <w:pPr>
                    <w:spacing w:line="54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2</w:t>
                  </w:r>
                </w:p>
              </w:tc>
              <w:tc>
                <w:tcPr>
                  <w:tcW w:w="1798" w:type="dxa"/>
                  <w:noWrap w:val="0"/>
                  <w:vAlign w:val="center"/>
                </w:tcPr>
                <w:p w14:paraId="4BCF5775">
                  <w:pPr>
                    <w:keepNext w:val="0"/>
                    <w:keepLines w:val="0"/>
                    <w:widowControl/>
                    <w:suppressLineNumbers w:val="0"/>
                    <w:jc w:val="center"/>
                    <w:textAlignment w:val="center"/>
                    <w:rPr>
                      <w:rFonts w:hint="eastAsia" w:ascii="宋体" w:hAnsi="宋体"/>
                      <w:color w:val="000000"/>
                      <w:kern w:val="2"/>
                      <w:sz w:val="24"/>
                      <w:szCs w:val="24"/>
                      <w:lang w:val="en-US" w:eastAsia="zh-CN" w:bidi="ar-SA"/>
                    </w:rPr>
                  </w:pPr>
                  <w:r>
                    <w:rPr>
                      <w:rFonts w:hint="eastAsia" w:ascii="宋体" w:hAnsi="宋体" w:eastAsia="宋体" w:cs="宋体"/>
                      <w:i w:val="0"/>
                      <w:color w:val="auto"/>
                      <w:kern w:val="0"/>
                      <w:sz w:val="21"/>
                      <w:szCs w:val="21"/>
                      <w:u w:val="none"/>
                      <w:lang w:val="en-US" w:eastAsia="zh-CN" w:bidi="ar"/>
                    </w:rPr>
                    <w:t>低压断路器</w:t>
                  </w:r>
                </w:p>
              </w:tc>
              <w:tc>
                <w:tcPr>
                  <w:tcW w:w="1545" w:type="dxa"/>
                  <w:noWrap w:val="0"/>
                  <w:vAlign w:val="center"/>
                </w:tcPr>
                <w:p w14:paraId="0E2CA0AB">
                  <w:pPr>
                    <w:keepNext w:val="0"/>
                    <w:keepLines w:val="0"/>
                    <w:widowControl/>
                    <w:suppressLineNumbers w:val="0"/>
                    <w:jc w:val="center"/>
                    <w:textAlignment w:val="center"/>
                    <w:rPr>
                      <w:rFonts w:hint="eastAsia" w:ascii="宋体" w:hAnsi="宋体" w:eastAsia="宋体"/>
                      <w:color w:val="auto"/>
                      <w:kern w:val="2"/>
                      <w:sz w:val="24"/>
                      <w:szCs w:val="24"/>
                      <w:lang w:val="en-US" w:eastAsia="zh-CN" w:bidi="ar-SA"/>
                    </w:rPr>
                  </w:pPr>
                  <w:r>
                    <w:rPr>
                      <w:rFonts w:hint="eastAsia" w:ascii="宋体" w:hAnsi="宋体" w:cs="宋体"/>
                      <w:i w:val="0"/>
                      <w:iCs w:val="0"/>
                      <w:color w:val="auto"/>
                      <w:kern w:val="0"/>
                      <w:sz w:val="21"/>
                      <w:szCs w:val="21"/>
                      <w:u w:val="none"/>
                      <w:lang w:val="en-US" w:eastAsia="zh-CN" w:bidi="ar"/>
                    </w:rPr>
                    <w:t>良信</w:t>
                  </w:r>
                </w:p>
              </w:tc>
              <w:tc>
                <w:tcPr>
                  <w:tcW w:w="1785" w:type="dxa"/>
                  <w:noWrap w:val="0"/>
                  <w:vAlign w:val="center"/>
                </w:tcPr>
                <w:p w14:paraId="6F5832A6">
                  <w:pPr>
                    <w:keepNext w:val="0"/>
                    <w:keepLines w:val="0"/>
                    <w:widowControl/>
                    <w:suppressLineNumbers w:val="0"/>
                    <w:jc w:val="center"/>
                    <w:textAlignment w:val="center"/>
                    <w:rPr>
                      <w:rFonts w:hint="eastAsia" w:ascii="宋体" w:hAnsi="宋体" w:eastAsia="宋体" w:cs="Times New Roman"/>
                      <w:color w:val="auto"/>
                      <w:sz w:val="24"/>
                      <w:szCs w:val="24"/>
                      <w:lang w:val="en-US" w:eastAsia="zh-CN"/>
                    </w:rPr>
                  </w:pPr>
                  <w:r>
                    <w:rPr>
                      <w:rFonts w:hint="eastAsia" w:ascii="宋体" w:hAnsi="宋体" w:cs="宋体"/>
                      <w:i w:val="0"/>
                      <w:iCs w:val="0"/>
                      <w:color w:val="auto"/>
                      <w:kern w:val="0"/>
                      <w:sz w:val="21"/>
                      <w:szCs w:val="21"/>
                      <w:u w:val="none"/>
                      <w:lang w:val="en-US" w:eastAsia="zh-CN" w:bidi="ar"/>
                    </w:rPr>
                    <w:t>亚派</w:t>
                  </w:r>
                </w:p>
              </w:tc>
              <w:tc>
                <w:tcPr>
                  <w:tcW w:w="2025" w:type="dxa"/>
                  <w:noWrap w:val="0"/>
                  <w:vAlign w:val="center"/>
                </w:tcPr>
                <w:p w14:paraId="26849538">
                  <w:pPr>
                    <w:keepNext w:val="0"/>
                    <w:keepLines w:val="0"/>
                    <w:widowControl/>
                    <w:suppressLineNumbers w:val="0"/>
                    <w:jc w:val="center"/>
                    <w:textAlignment w:val="center"/>
                    <w:rPr>
                      <w:rFonts w:hint="eastAsia" w:ascii="宋体" w:hAnsi="宋体" w:eastAsia="宋体" w:cs="Times New Roman"/>
                      <w:color w:val="auto"/>
                      <w:sz w:val="24"/>
                      <w:szCs w:val="24"/>
                      <w:lang w:val="en-US" w:eastAsia="zh-CN"/>
                    </w:rPr>
                  </w:pPr>
                  <w:r>
                    <w:rPr>
                      <w:rFonts w:hint="eastAsia" w:ascii="宋体" w:hAnsi="宋体" w:cs="宋体"/>
                      <w:i w:val="0"/>
                      <w:iCs w:val="0"/>
                      <w:color w:val="auto"/>
                      <w:kern w:val="0"/>
                      <w:sz w:val="21"/>
                      <w:szCs w:val="21"/>
                      <w:u w:val="none"/>
                      <w:lang w:val="en-US" w:eastAsia="zh-CN" w:bidi="ar"/>
                    </w:rPr>
                    <w:t>海格</w:t>
                  </w:r>
                </w:p>
              </w:tc>
            </w:tr>
            <w:tr w14:paraId="4234E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39D2AAD9">
                  <w:pPr>
                    <w:spacing w:line="540" w:lineRule="exact"/>
                    <w:jc w:val="center"/>
                    <w:rPr>
                      <w:rFonts w:hint="default"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3</w:t>
                  </w:r>
                </w:p>
              </w:tc>
              <w:tc>
                <w:tcPr>
                  <w:tcW w:w="1798" w:type="dxa"/>
                  <w:noWrap w:val="0"/>
                  <w:vAlign w:val="center"/>
                </w:tcPr>
                <w:p w14:paraId="258F98EF">
                  <w:pPr>
                    <w:keepNext w:val="0"/>
                    <w:keepLines w:val="0"/>
                    <w:widowControl/>
                    <w:suppressLineNumbers w:val="0"/>
                    <w:jc w:val="center"/>
                    <w:textAlignment w:val="center"/>
                    <w:rPr>
                      <w:rFonts w:hint="eastAsia" w:ascii="宋体" w:hAnsi="宋体"/>
                      <w:color w:val="000000"/>
                      <w:sz w:val="24"/>
                      <w:szCs w:val="24"/>
                      <w:lang w:val="en-US" w:eastAsia="zh-CN"/>
                    </w:rPr>
                  </w:pPr>
                  <w:r>
                    <w:rPr>
                      <w:rFonts w:hint="eastAsia" w:ascii="宋体" w:hAnsi="宋体" w:eastAsia="宋体" w:cs="宋体"/>
                      <w:i w:val="0"/>
                      <w:color w:val="auto"/>
                      <w:kern w:val="0"/>
                      <w:sz w:val="21"/>
                      <w:szCs w:val="21"/>
                      <w:u w:val="none"/>
                      <w:lang w:val="en-US" w:eastAsia="zh-CN" w:bidi="ar"/>
                    </w:rPr>
                    <w:t>浪涌保护器</w:t>
                  </w:r>
                </w:p>
              </w:tc>
              <w:tc>
                <w:tcPr>
                  <w:tcW w:w="1545" w:type="dxa"/>
                  <w:noWrap w:val="0"/>
                  <w:vAlign w:val="center"/>
                </w:tcPr>
                <w:p w14:paraId="5A28D9D6">
                  <w:pPr>
                    <w:keepNext w:val="0"/>
                    <w:keepLines w:val="0"/>
                    <w:widowControl/>
                    <w:suppressLineNumbers w:val="0"/>
                    <w:jc w:val="center"/>
                    <w:textAlignment w:val="center"/>
                    <w:rPr>
                      <w:rFonts w:hint="eastAsia" w:ascii="宋体" w:hAnsi="宋体" w:eastAsia="宋体"/>
                      <w:color w:val="auto"/>
                      <w:kern w:val="2"/>
                      <w:sz w:val="24"/>
                      <w:szCs w:val="24"/>
                      <w:lang w:val="en-US" w:eastAsia="zh-CN" w:bidi="ar-SA"/>
                    </w:rPr>
                  </w:pPr>
                  <w:r>
                    <w:rPr>
                      <w:rFonts w:hint="eastAsia" w:ascii="宋体" w:hAnsi="宋体" w:eastAsia="宋体" w:cs="宋体"/>
                      <w:i w:val="0"/>
                      <w:iCs w:val="0"/>
                      <w:color w:val="auto"/>
                      <w:kern w:val="0"/>
                      <w:sz w:val="21"/>
                      <w:szCs w:val="21"/>
                      <w:u w:val="none"/>
                      <w:lang w:val="en-US" w:eastAsia="zh-CN" w:bidi="ar"/>
                    </w:rPr>
                    <w:t>苏州守华</w:t>
                  </w:r>
                </w:p>
              </w:tc>
              <w:tc>
                <w:tcPr>
                  <w:tcW w:w="1785" w:type="dxa"/>
                  <w:noWrap w:val="0"/>
                  <w:vAlign w:val="center"/>
                </w:tcPr>
                <w:p w14:paraId="1A59D22D">
                  <w:pPr>
                    <w:keepNext w:val="0"/>
                    <w:keepLines w:val="0"/>
                    <w:widowControl/>
                    <w:suppressLineNumbers w:val="0"/>
                    <w:jc w:val="center"/>
                    <w:textAlignment w:val="center"/>
                    <w:rPr>
                      <w:rFonts w:hint="eastAsia" w:ascii="宋体" w:hAnsi="宋体" w:eastAsia="宋体" w:cs="Times New Roman"/>
                      <w:color w:val="auto"/>
                      <w:sz w:val="24"/>
                      <w:szCs w:val="24"/>
                      <w:lang w:val="en-US" w:eastAsia="zh-CN"/>
                    </w:rPr>
                  </w:pPr>
                  <w:r>
                    <w:rPr>
                      <w:rFonts w:hint="eastAsia" w:ascii="宋体" w:hAnsi="宋体" w:eastAsia="宋体" w:cs="宋体"/>
                      <w:i w:val="0"/>
                      <w:iCs w:val="0"/>
                      <w:color w:val="auto"/>
                      <w:kern w:val="0"/>
                      <w:sz w:val="21"/>
                      <w:szCs w:val="21"/>
                      <w:u w:val="none"/>
                      <w:lang w:val="en-US" w:eastAsia="zh-CN" w:bidi="ar"/>
                    </w:rPr>
                    <w:t>普华力拓</w:t>
                  </w:r>
                </w:p>
              </w:tc>
              <w:tc>
                <w:tcPr>
                  <w:tcW w:w="2025" w:type="dxa"/>
                  <w:noWrap w:val="0"/>
                  <w:vAlign w:val="center"/>
                </w:tcPr>
                <w:p w14:paraId="4CED1C47">
                  <w:pPr>
                    <w:keepNext w:val="0"/>
                    <w:keepLines w:val="0"/>
                    <w:widowControl/>
                    <w:suppressLineNumbers w:val="0"/>
                    <w:jc w:val="center"/>
                    <w:textAlignment w:val="center"/>
                    <w:rPr>
                      <w:rFonts w:hint="eastAsia" w:ascii="宋体" w:hAnsi="宋体" w:eastAsia="宋体" w:cs="Times New Roman"/>
                      <w:color w:val="auto"/>
                      <w:sz w:val="24"/>
                      <w:szCs w:val="24"/>
                      <w:lang w:val="en-US" w:eastAsia="zh-CN"/>
                    </w:rPr>
                  </w:pPr>
                  <w:r>
                    <w:rPr>
                      <w:rFonts w:hint="eastAsia" w:ascii="宋体" w:hAnsi="宋体" w:eastAsia="宋体" w:cs="宋体"/>
                      <w:i w:val="0"/>
                      <w:iCs w:val="0"/>
                      <w:color w:val="auto"/>
                      <w:kern w:val="0"/>
                      <w:sz w:val="21"/>
                      <w:szCs w:val="21"/>
                      <w:u w:val="none"/>
                      <w:lang w:val="en-US" w:eastAsia="zh-CN" w:bidi="ar"/>
                    </w:rPr>
                    <w:t>江苏新晨</w:t>
                  </w:r>
                </w:p>
              </w:tc>
            </w:tr>
            <w:tr w14:paraId="5B76E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10" w:type="dxa"/>
                  <w:noWrap w:val="0"/>
                  <w:vAlign w:val="center"/>
                </w:tcPr>
                <w:p w14:paraId="32CEC312">
                  <w:pPr>
                    <w:spacing w:line="540" w:lineRule="exact"/>
                    <w:jc w:val="center"/>
                    <w:rPr>
                      <w:rFonts w:hint="default" w:ascii="宋体" w:hAnsi="宋体" w:cs="Times New Roman"/>
                      <w:color w:val="000000"/>
                      <w:sz w:val="24"/>
                      <w:szCs w:val="24"/>
                      <w:lang w:val="en-US" w:eastAsia="zh-CN"/>
                    </w:rPr>
                  </w:pPr>
                  <w:r>
                    <w:rPr>
                      <w:rFonts w:hint="eastAsia" w:ascii="宋体" w:hAnsi="宋体" w:cs="Times New Roman"/>
                      <w:color w:val="000000"/>
                      <w:sz w:val="24"/>
                      <w:szCs w:val="24"/>
                      <w:lang w:val="en-US" w:eastAsia="zh-CN"/>
                    </w:rPr>
                    <w:t>4</w:t>
                  </w:r>
                </w:p>
              </w:tc>
              <w:tc>
                <w:tcPr>
                  <w:tcW w:w="1798" w:type="dxa"/>
                  <w:noWrap w:val="0"/>
                  <w:vAlign w:val="center"/>
                </w:tcPr>
                <w:p w14:paraId="66F67D64">
                  <w:pPr>
                    <w:keepNext w:val="0"/>
                    <w:keepLines w:val="0"/>
                    <w:widowControl/>
                    <w:suppressLineNumbers w:val="0"/>
                    <w:jc w:val="center"/>
                    <w:textAlignment w:val="center"/>
                    <w:rPr>
                      <w:rFonts w:hint="default"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CPVC、MPP电力管</w:t>
                  </w:r>
                </w:p>
              </w:tc>
              <w:tc>
                <w:tcPr>
                  <w:tcW w:w="1545" w:type="dxa"/>
                  <w:noWrap w:val="0"/>
                  <w:vAlign w:val="center"/>
                </w:tcPr>
                <w:p w14:paraId="10F355A8">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中财</w:t>
                  </w:r>
                </w:p>
              </w:tc>
              <w:tc>
                <w:tcPr>
                  <w:tcW w:w="1785" w:type="dxa"/>
                  <w:noWrap w:val="0"/>
                  <w:vAlign w:val="center"/>
                </w:tcPr>
                <w:p w14:paraId="715FBD72">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公元</w:t>
                  </w:r>
                </w:p>
              </w:tc>
              <w:tc>
                <w:tcPr>
                  <w:tcW w:w="2025" w:type="dxa"/>
                  <w:noWrap w:val="0"/>
                  <w:vAlign w:val="center"/>
                </w:tcPr>
                <w:p w14:paraId="199DB894">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联塑</w:t>
                  </w:r>
                </w:p>
              </w:tc>
            </w:tr>
          </w:tbl>
          <w:p w14:paraId="0D208690">
            <w:pPr>
              <w:spacing w:line="540" w:lineRule="exact"/>
              <w:rPr>
                <w:rFonts w:hint="eastAsia" w:ascii="宋体" w:cs="宋体"/>
                <w:color w:val="FF0000"/>
                <w:kern w:val="0"/>
                <w:sz w:val="24"/>
                <w:szCs w:val="24"/>
              </w:rPr>
            </w:pPr>
            <w:bookmarkStart w:id="0" w:name="_GoBack"/>
            <w:bookmarkEnd w:id="0"/>
          </w:p>
        </w:tc>
      </w:tr>
    </w:tbl>
    <w:p w14:paraId="571D9B1A">
      <w:pPr>
        <w:spacing w:line="360" w:lineRule="auto"/>
        <w:rPr>
          <w:rFonts w:hint="eastAsia"/>
          <w:sz w:val="24"/>
          <w:szCs w:val="24"/>
        </w:rPr>
      </w:pPr>
    </w:p>
    <w:sectPr>
      <w:pgSz w:w="12240" w:h="15840"/>
      <w:pgMar w:top="1134" w:right="1797" w:bottom="986" w:left="1397" w:header="720" w:footer="115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新宋体">
    <w:panose1 w:val="02010609030101010101"/>
    <w:charset w:val="86"/>
    <w:family w:val="modern"/>
    <w:pitch w:val="default"/>
    <w:sig w:usb0="00000203" w:usb1="288F0000" w:usb2="0000000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D6E6E6"/>
    <w:multiLevelType w:val="singleLevel"/>
    <w:tmpl w:val="DED6E6E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ODZmZDFiY2VmOTJkMzgxNGQ5YjdmNGNlYTZkOWQifQ=="/>
  </w:docVars>
  <w:rsids>
    <w:rsidRoot w:val="00E51FFA"/>
    <w:rsid w:val="000064E6"/>
    <w:rsid w:val="00010525"/>
    <w:rsid w:val="000144D6"/>
    <w:rsid w:val="00041927"/>
    <w:rsid w:val="00060756"/>
    <w:rsid w:val="0006796E"/>
    <w:rsid w:val="000807AE"/>
    <w:rsid w:val="000C174A"/>
    <w:rsid w:val="000C677D"/>
    <w:rsid w:val="00111429"/>
    <w:rsid w:val="00116EBB"/>
    <w:rsid w:val="00145780"/>
    <w:rsid w:val="001537BB"/>
    <w:rsid w:val="00173102"/>
    <w:rsid w:val="001B1A2A"/>
    <w:rsid w:val="001B2961"/>
    <w:rsid w:val="001B6627"/>
    <w:rsid w:val="001C06C1"/>
    <w:rsid w:val="001D63C4"/>
    <w:rsid w:val="001E1199"/>
    <w:rsid w:val="001E7702"/>
    <w:rsid w:val="00220C69"/>
    <w:rsid w:val="0022346D"/>
    <w:rsid w:val="00246C83"/>
    <w:rsid w:val="002471C6"/>
    <w:rsid w:val="00276FBD"/>
    <w:rsid w:val="002827C5"/>
    <w:rsid w:val="002B17FB"/>
    <w:rsid w:val="002D7752"/>
    <w:rsid w:val="002F26C6"/>
    <w:rsid w:val="00320BC7"/>
    <w:rsid w:val="0033109B"/>
    <w:rsid w:val="003371D4"/>
    <w:rsid w:val="00337F49"/>
    <w:rsid w:val="00345453"/>
    <w:rsid w:val="00390FFA"/>
    <w:rsid w:val="003C6E09"/>
    <w:rsid w:val="003D0328"/>
    <w:rsid w:val="003D4676"/>
    <w:rsid w:val="0041069E"/>
    <w:rsid w:val="00425E0A"/>
    <w:rsid w:val="00445F39"/>
    <w:rsid w:val="004576AA"/>
    <w:rsid w:val="00464C3A"/>
    <w:rsid w:val="004664A9"/>
    <w:rsid w:val="0047510C"/>
    <w:rsid w:val="0048764B"/>
    <w:rsid w:val="004E0690"/>
    <w:rsid w:val="004F102E"/>
    <w:rsid w:val="004F6FB8"/>
    <w:rsid w:val="00501362"/>
    <w:rsid w:val="00504C40"/>
    <w:rsid w:val="005340CC"/>
    <w:rsid w:val="00546D8A"/>
    <w:rsid w:val="00553296"/>
    <w:rsid w:val="005804B2"/>
    <w:rsid w:val="005C4986"/>
    <w:rsid w:val="005D22D6"/>
    <w:rsid w:val="005E0ECA"/>
    <w:rsid w:val="005E6A79"/>
    <w:rsid w:val="006035B5"/>
    <w:rsid w:val="0062164B"/>
    <w:rsid w:val="00641C22"/>
    <w:rsid w:val="006946DC"/>
    <w:rsid w:val="0069793D"/>
    <w:rsid w:val="006D1832"/>
    <w:rsid w:val="006D60EA"/>
    <w:rsid w:val="006D6AC0"/>
    <w:rsid w:val="006F774A"/>
    <w:rsid w:val="0071358D"/>
    <w:rsid w:val="00721221"/>
    <w:rsid w:val="007406F4"/>
    <w:rsid w:val="00787329"/>
    <w:rsid w:val="007C2272"/>
    <w:rsid w:val="007C734B"/>
    <w:rsid w:val="007D09C2"/>
    <w:rsid w:val="007F2F8A"/>
    <w:rsid w:val="0080797F"/>
    <w:rsid w:val="0082417F"/>
    <w:rsid w:val="00824FEA"/>
    <w:rsid w:val="00870B2C"/>
    <w:rsid w:val="00882E26"/>
    <w:rsid w:val="008B523B"/>
    <w:rsid w:val="008E6502"/>
    <w:rsid w:val="008F7C05"/>
    <w:rsid w:val="009258DD"/>
    <w:rsid w:val="009317BD"/>
    <w:rsid w:val="00960014"/>
    <w:rsid w:val="009675B0"/>
    <w:rsid w:val="0099459B"/>
    <w:rsid w:val="009A0905"/>
    <w:rsid w:val="009B14C4"/>
    <w:rsid w:val="009B46CF"/>
    <w:rsid w:val="009C5465"/>
    <w:rsid w:val="009E6577"/>
    <w:rsid w:val="009F2D5B"/>
    <w:rsid w:val="00A00094"/>
    <w:rsid w:val="00A11F8B"/>
    <w:rsid w:val="00A14075"/>
    <w:rsid w:val="00A61F31"/>
    <w:rsid w:val="00A83393"/>
    <w:rsid w:val="00AA2FB5"/>
    <w:rsid w:val="00AA305B"/>
    <w:rsid w:val="00AB1018"/>
    <w:rsid w:val="00AE254F"/>
    <w:rsid w:val="00AF298C"/>
    <w:rsid w:val="00B018F6"/>
    <w:rsid w:val="00B05E12"/>
    <w:rsid w:val="00B13E29"/>
    <w:rsid w:val="00B15141"/>
    <w:rsid w:val="00B371F5"/>
    <w:rsid w:val="00B52E5F"/>
    <w:rsid w:val="00B703D0"/>
    <w:rsid w:val="00B87796"/>
    <w:rsid w:val="00B91D54"/>
    <w:rsid w:val="00BC1322"/>
    <w:rsid w:val="00BE23BA"/>
    <w:rsid w:val="00C1686A"/>
    <w:rsid w:val="00C44082"/>
    <w:rsid w:val="00C5653E"/>
    <w:rsid w:val="00C94787"/>
    <w:rsid w:val="00CA5A6C"/>
    <w:rsid w:val="00CE1849"/>
    <w:rsid w:val="00D2490E"/>
    <w:rsid w:val="00D2668F"/>
    <w:rsid w:val="00D26A21"/>
    <w:rsid w:val="00D35081"/>
    <w:rsid w:val="00D41EE8"/>
    <w:rsid w:val="00D63BEA"/>
    <w:rsid w:val="00DC0427"/>
    <w:rsid w:val="00DC16F9"/>
    <w:rsid w:val="00DE3886"/>
    <w:rsid w:val="00DF499F"/>
    <w:rsid w:val="00E16646"/>
    <w:rsid w:val="00E24044"/>
    <w:rsid w:val="00E332A2"/>
    <w:rsid w:val="00E51FFA"/>
    <w:rsid w:val="00E669EA"/>
    <w:rsid w:val="00E6789C"/>
    <w:rsid w:val="00E72696"/>
    <w:rsid w:val="00E80BF0"/>
    <w:rsid w:val="00E81D06"/>
    <w:rsid w:val="00E920E7"/>
    <w:rsid w:val="00E9226E"/>
    <w:rsid w:val="00E94174"/>
    <w:rsid w:val="00EA2B8E"/>
    <w:rsid w:val="00EB739B"/>
    <w:rsid w:val="00EC4037"/>
    <w:rsid w:val="00ED541C"/>
    <w:rsid w:val="00EE40D4"/>
    <w:rsid w:val="00F03778"/>
    <w:rsid w:val="00F12FC4"/>
    <w:rsid w:val="00F50F37"/>
    <w:rsid w:val="00F57F52"/>
    <w:rsid w:val="00FC4115"/>
    <w:rsid w:val="00FD6641"/>
    <w:rsid w:val="02CD6766"/>
    <w:rsid w:val="04CF7DF1"/>
    <w:rsid w:val="0509601B"/>
    <w:rsid w:val="05391C35"/>
    <w:rsid w:val="05434AAF"/>
    <w:rsid w:val="06085F52"/>
    <w:rsid w:val="06BF1E80"/>
    <w:rsid w:val="070E1B73"/>
    <w:rsid w:val="0917413C"/>
    <w:rsid w:val="0A114CE8"/>
    <w:rsid w:val="0AD53130"/>
    <w:rsid w:val="0BB82A42"/>
    <w:rsid w:val="0C216C7E"/>
    <w:rsid w:val="0CD70D95"/>
    <w:rsid w:val="0DC54575"/>
    <w:rsid w:val="0FAE1886"/>
    <w:rsid w:val="10287DA4"/>
    <w:rsid w:val="10E4512F"/>
    <w:rsid w:val="11774B4B"/>
    <w:rsid w:val="12257A57"/>
    <w:rsid w:val="129273C6"/>
    <w:rsid w:val="12EE1C50"/>
    <w:rsid w:val="14311F9E"/>
    <w:rsid w:val="14C53CA4"/>
    <w:rsid w:val="14EC3A5D"/>
    <w:rsid w:val="164C22A2"/>
    <w:rsid w:val="169278B7"/>
    <w:rsid w:val="18517C0B"/>
    <w:rsid w:val="189D1870"/>
    <w:rsid w:val="190576C7"/>
    <w:rsid w:val="1A5A2077"/>
    <w:rsid w:val="1A9C5550"/>
    <w:rsid w:val="1B264230"/>
    <w:rsid w:val="1CAF46D5"/>
    <w:rsid w:val="1E5F0FFB"/>
    <w:rsid w:val="1EF54C31"/>
    <w:rsid w:val="1F072FA1"/>
    <w:rsid w:val="1F45467D"/>
    <w:rsid w:val="218735A1"/>
    <w:rsid w:val="22D42AE9"/>
    <w:rsid w:val="22ED648A"/>
    <w:rsid w:val="253D2187"/>
    <w:rsid w:val="28010199"/>
    <w:rsid w:val="28011846"/>
    <w:rsid w:val="29DF0B6F"/>
    <w:rsid w:val="2ABF6F43"/>
    <w:rsid w:val="2B8B19B9"/>
    <w:rsid w:val="2BE23319"/>
    <w:rsid w:val="2C2E1F5B"/>
    <w:rsid w:val="2C586696"/>
    <w:rsid w:val="2CA939D8"/>
    <w:rsid w:val="2D3A35F8"/>
    <w:rsid w:val="2D473BC1"/>
    <w:rsid w:val="2DAE5FD7"/>
    <w:rsid w:val="2E01442D"/>
    <w:rsid w:val="2E3761B2"/>
    <w:rsid w:val="2E760AD4"/>
    <w:rsid w:val="2E8A3301"/>
    <w:rsid w:val="2EC33E0D"/>
    <w:rsid w:val="2F0F2D44"/>
    <w:rsid w:val="2F4859ED"/>
    <w:rsid w:val="2F6B46F0"/>
    <w:rsid w:val="30AF6A68"/>
    <w:rsid w:val="333538BE"/>
    <w:rsid w:val="33CE68E1"/>
    <w:rsid w:val="34471B1F"/>
    <w:rsid w:val="347D0D52"/>
    <w:rsid w:val="353245BF"/>
    <w:rsid w:val="35E42E68"/>
    <w:rsid w:val="35FA19CE"/>
    <w:rsid w:val="364D2D79"/>
    <w:rsid w:val="36EF24B8"/>
    <w:rsid w:val="37092305"/>
    <w:rsid w:val="378E652D"/>
    <w:rsid w:val="379D7045"/>
    <w:rsid w:val="37C04929"/>
    <w:rsid w:val="38D43617"/>
    <w:rsid w:val="39633BDF"/>
    <w:rsid w:val="396D4D0C"/>
    <w:rsid w:val="3A1A145D"/>
    <w:rsid w:val="3A5263A4"/>
    <w:rsid w:val="3B184C5B"/>
    <w:rsid w:val="3B532E0F"/>
    <w:rsid w:val="3B5B0CFC"/>
    <w:rsid w:val="3BF82585"/>
    <w:rsid w:val="3BFA6630"/>
    <w:rsid w:val="3DE60392"/>
    <w:rsid w:val="3E183551"/>
    <w:rsid w:val="3F055FBC"/>
    <w:rsid w:val="3F2F587E"/>
    <w:rsid w:val="40387502"/>
    <w:rsid w:val="40AE55E7"/>
    <w:rsid w:val="4181328B"/>
    <w:rsid w:val="422964C8"/>
    <w:rsid w:val="43906451"/>
    <w:rsid w:val="44140BDA"/>
    <w:rsid w:val="451A583A"/>
    <w:rsid w:val="46114F4C"/>
    <w:rsid w:val="480F6C2E"/>
    <w:rsid w:val="49014A2B"/>
    <w:rsid w:val="49033D0B"/>
    <w:rsid w:val="49222057"/>
    <w:rsid w:val="493846DE"/>
    <w:rsid w:val="495218F3"/>
    <w:rsid w:val="4A4607B6"/>
    <w:rsid w:val="4AD2450C"/>
    <w:rsid w:val="4B630987"/>
    <w:rsid w:val="4BFD232E"/>
    <w:rsid w:val="4C13291B"/>
    <w:rsid w:val="4CC342B2"/>
    <w:rsid w:val="4DFC2977"/>
    <w:rsid w:val="4E684C6C"/>
    <w:rsid w:val="4E8F6732"/>
    <w:rsid w:val="4F772302"/>
    <w:rsid w:val="50284C6A"/>
    <w:rsid w:val="5099388B"/>
    <w:rsid w:val="516629C8"/>
    <w:rsid w:val="52446B58"/>
    <w:rsid w:val="52810BDE"/>
    <w:rsid w:val="5378623D"/>
    <w:rsid w:val="54652C20"/>
    <w:rsid w:val="55855F5F"/>
    <w:rsid w:val="56664A48"/>
    <w:rsid w:val="56AB48D8"/>
    <w:rsid w:val="58B230B1"/>
    <w:rsid w:val="5966335E"/>
    <w:rsid w:val="597F20E0"/>
    <w:rsid w:val="59AE3DDB"/>
    <w:rsid w:val="5A134D3F"/>
    <w:rsid w:val="5A5C22F2"/>
    <w:rsid w:val="5BA4612D"/>
    <w:rsid w:val="5F2175C4"/>
    <w:rsid w:val="6079063B"/>
    <w:rsid w:val="609D16CC"/>
    <w:rsid w:val="613016AE"/>
    <w:rsid w:val="61595BA5"/>
    <w:rsid w:val="616F7620"/>
    <w:rsid w:val="61D40299"/>
    <w:rsid w:val="631B24DD"/>
    <w:rsid w:val="64844A28"/>
    <w:rsid w:val="65D34DDB"/>
    <w:rsid w:val="66973F89"/>
    <w:rsid w:val="66C67640"/>
    <w:rsid w:val="671F4EBD"/>
    <w:rsid w:val="682B25BF"/>
    <w:rsid w:val="69713E8B"/>
    <w:rsid w:val="6AB87223"/>
    <w:rsid w:val="6B375BA8"/>
    <w:rsid w:val="6C352A6C"/>
    <w:rsid w:val="6C62385A"/>
    <w:rsid w:val="6D684E86"/>
    <w:rsid w:val="6D9C487A"/>
    <w:rsid w:val="6E10028F"/>
    <w:rsid w:val="6E596377"/>
    <w:rsid w:val="6EF03EE7"/>
    <w:rsid w:val="706F4B7F"/>
    <w:rsid w:val="70942345"/>
    <w:rsid w:val="729E04A6"/>
    <w:rsid w:val="730455B3"/>
    <w:rsid w:val="74467622"/>
    <w:rsid w:val="74707DBD"/>
    <w:rsid w:val="75AD7F3A"/>
    <w:rsid w:val="761D6BAB"/>
    <w:rsid w:val="76976DF3"/>
    <w:rsid w:val="790C269D"/>
    <w:rsid w:val="7B122D0F"/>
    <w:rsid w:val="7DE7663E"/>
    <w:rsid w:val="7E4216E5"/>
    <w:rsid w:val="7E795118"/>
    <w:rsid w:val="7F2B04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1"/>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3">
    <w:name w:val="Balloon Text"/>
    <w:basedOn w:val="1"/>
    <w:link w:val="12"/>
    <w:autoRedefine/>
    <w:unhideWhenUsed/>
    <w:qFormat/>
    <w:uiPriority w:val="99"/>
    <w:rPr>
      <w:kern w:val="0"/>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kern w:val="0"/>
      <w:sz w:val="18"/>
      <w:szCs w:val="18"/>
    </w:rPr>
  </w:style>
  <w:style w:type="paragraph" w:styleId="5">
    <w:name w:val="header"/>
    <w:basedOn w:val="1"/>
    <w:link w:val="14"/>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Normal (Web)"/>
    <w:basedOn w:val="1"/>
    <w:autoRedefine/>
    <w:unhideWhenUsed/>
    <w:qFormat/>
    <w:uiPriority w:val="99"/>
    <w:pPr>
      <w:spacing w:before="100" w:beforeAutospacing="1" w:after="100" w:afterAutospacing="1"/>
      <w:ind w:left="0" w:right="0"/>
      <w:jc w:val="left"/>
    </w:pPr>
    <w:rPr>
      <w:kern w:val="0"/>
      <w:sz w:val="24"/>
      <w:lang w:val="en-US" w:eastAsia="zh-CN" w:bidi="ar"/>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autoRedefine/>
    <w:qFormat/>
    <w:uiPriority w:val="22"/>
    <w:rPr>
      <w:b/>
    </w:rPr>
  </w:style>
  <w:style w:type="character" w:customStyle="1" w:styleId="11">
    <w:name w:val="标题 1 字符"/>
    <w:link w:val="2"/>
    <w:autoRedefine/>
    <w:qFormat/>
    <w:uiPriority w:val="9"/>
    <w:rPr>
      <w:b/>
      <w:bCs/>
      <w:kern w:val="44"/>
      <w:sz w:val="44"/>
      <w:szCs w:val="44"/>
    </w:rPr>
  </w:style>
  <w:style w:type="character" w:customStyle="1" w:styleId="12">
    <w:name w:val="批注框文本 字符"/>
    <w:link w:val="3"/>
    <w:autoRedefine/>
    <w:semiHidden/>
    <w:qFormat/>
    <w:uiPriority w:val="99"/>
    <w:rPr>
      <w:sz w:val="18"/>
      <w:szCs w:val="18"/>
    </w:rPr>
  </w:style>
  <w:style w:type="character" w:customStyle="1" w:styleId="13">
    <w:name w:val="页脚 字符"/>
    <w:link w:val="4"/>
    <w:autoRedefine/>
    <w:semiHidden/>
    <w:qFormat/>
    <w:uiPriority w:val="99"/>
    <w:rPr>
      <w:sz w:val="18"/>
      <w:szCs w:val="18"/>
    </w:rPr>
  </w:style>
  <w:style w:type="character" w:customStyle="1" w:styleId="14">
    <w:name w:val="页眉 字符"/>
    <w:link w:val="5"/>
    <w:autoRedefine/>
    <w:semiHidden/>
    <w:qFormat/>
    <w:uiPriority w:val="99"/>
    <w:rPr>
      <w:sz w:val="18"/>
      <w:szCs w:val="18"/>
    </w:rPr>
  </w:style>
  <w:style w:type="character" w:customStyle="1" w:styleId="15">
    <w:name w:val="font61"/>
    <w:autoRedefine/>
    <w:qFormat/>
    <w:uiPriority w:val="0"/>
    <w:rPr>
      <w:rFonts w:hint="default" w:ascii="MingLiU" w:hAnsi="MingLiU" w:eastAsia="MingLiU" w:cs="MingLiU"/>
      <w:color w:val="000000"/>
      <w:sz w:val="18"/>
      <w:szCs w:val="18"/>
      <w:u w:val="none"/>
    </w:rPr>
  </w:style>
  <w:style w:type="character" w:customStyle="1" w:styleId="16">
    <w:name w:val="font51"/>
    <w:autoRedefine/>
    <w:qFormat/>
    <w:uiPriority w:val="0"/>
    <w:rPr>
      <w:rFonts w:hint="default" w:ascii="Arial" w:hAnsi="Arial" w:cs="Arial"/>
      <w:color w:val="000000"/>
      <w:sz w:val="18"/>
      <w:szCs w:val="18"/>
      <w:u w:val="none"/>
    </w:rPr>
  </w:style>
  <w:style w:type="character" w:customStyle="1" w:styleId="17">
    <w:name w:val="font01"/>
    <w:autoRedefine/>
    <w:qFormat/>
    <w:uiPriority w:val="0"/>
    <w:rPr>
      <w:rFonts w:hint="default" w:ascii="MingLiU" w:hAnsi="MingLiU" w:eastAsia="MingLiU" w:cs="MingLiU"/>
      <w:color w:val="000000"/>
      <w:sz w:val="22"/>
      <w:szCs w:val="22"/>
      <w:u w:val="none"/>
    </w:rPr>
  </w:style>
  <w:style w:type="character" w:customStyle="1" w:styleId="18">
    <w:name w:val="font11"/>
    <w:autoRedefine/>
    <w:qFormat/>
    <w:uiPriority w:val="0"/>
    <w:rPr>
      <w:rFonts w:hint="eastAsia" w:ascii="宋体" w:hAnsi="宋体" w:eastAsia="宋体" w:cs="宋体"/>
      <w:color w:val="000000"/>
      <w:sz w:val="18"/>
      <w:szCs w:val="18"/>
      <w:u w:val="none"/>
    </w:rPr>
  </w:style>
  <w:style w:type="paragraph" w:customStyle="1" w:styleId="19">
    <w:name w:val="Table Paragraph"/>
    <w:basedOn w:val="1"/>
    <w:autoRedefine/>
    <w:qFormat/>
    <w:uiPriority w:val="1"/>
    <w:pPr>
      <w:autoSpaceDE w:val="0"/>
      <w:autoSpaceDN w:val="0"/>
      <w:jc w:val="left"/>
    </w:pPr>
    <w:rPr>
      <w:rFonts w:ascii="新宋体" w:hAnsi="新宋体" w:eastAsia="新宋体" w:cs="新宋体"/>
      <w:kern w:val="0"/>
      <w:sz w:val="22"/>
      <w:lang w:eastAsia="en-US"/>
    </w:rPr>
  </w:style>
  <w:style w:type="paragraph" w:styleId="2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959</Words>
  <Characters>1012</Characters>
  <Lines>12</Lines>
  <Paragraphs>3</Paragraphs>
  <TotalTime>3</TotalTime>
  <ScaleCrop>false</ScaleCrop>
  <LinksUpToDate>false</LinksUpToDate>
  <CharactersWithSpaces>1019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2015-09-10T03:50:00Z</dcterms:created>
  <dc:creator>JENNY</dc:creator>
  <cp:lastModifiedBy>lyj</cp:lastModifiedBy>
  <cp:lastPrinted>2016-02-22T04:25:00Z</cp:lastPrinted>
  <dcterms:modified xsi:type="dcterms:W3CDTF">2026-07-10T05:21:01Z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0ECC4AFAFD724E7A90389EAB3EE11FE3_13</vt:lpwstr>
  </property>
  <property fmtid="{D5CDD505-2E9C-101B-9397-08002B2CF9AE}" pid="4" name="KSOTemplateDocerSaveRecord">
    <vt:lpwstr>eyJoZGlkIjoiYTliMDVlMjYxOTllZTZhNjQ2NmJmMTcxMzUzYjdmMjIiLCJ1c2VySWQiOiI0NTk0NzgxMTkifQ==</vt:lpwstr>
  </property>
</Properties>
</file>